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FD" w:rsidRDefault="00C26F99" w:rsidP="008D18B8">
      <w:pPr>
        <w:pStyle w:val="2"/>
        <w:rPr>
          <w:noProof/>
          <w:szCs w:val="28"/>
        </w:rPr>
      </w:pPr>
      <w:r>
        <w:rPr>
          <w:noProof/>
        </w:rPr>
        <w:t xml:space="preserve">   </w:t>
      </w:r>
    </w:p>
    <w:p w:rsidR="00F820FD" w:rsidRDefault="00F820FD" w:rsidP="00F820FD">
      <w:pPr>
        <w:jc w:val="right"/>
        <w:rPr>
          <w:noProof/>
          <w:sz w:val="28"/>
          <w:szCs w:val="28"/>
        </w:rPr>
      </w:pPr>
    </w:p>
    <w:p w:rsidR="00F820FD" w:rsidRDefault="008D18B8" w:rsidP="008D18B8">
      <w:pPr>
        <w:jc w:val="center"/>
        <w:rPr>
          <w:noProof/>
          <w:sz w:val="28"/>
          <w:szCs w:val="28"/>
        </w:rPr>
      </w:pPr>
      <w:r w:rsidRPr="004368CC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8D18B8">
      <w:r>
        <w:t>о</w:t>
      </w:r>
      <w:r w:rsidR="0069267B">
        <w:t>т</w:t>
      </w:r>
      <w:r>
        <w:t xml:space="preserve"> </w:t>
      </w:r>
      <w:r w:rsidR="00B06237" w:rsidRPr="007F4A04">
        <w:t>17</w:t>
      </w:r>
      <w:r w:rsidR="00D03853" w:rsidRPr="00181F4D">
        <w:t>.</w:t>
      </w:r>
      <w:r w:rsidR="008E1AB0" w:rsidRPr="00181F4D">
        <w:t>0</w:t>
      </w:r>
      <w:r w:rsidR="00B06237" w:rsidRPr="007F4A04">
        <w:t>3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8D18B8">
        <w:t xml:space="preserve">       </w:t>
      </w:r>
      <w:r w:rsidR="00F77E21">
        <w:t>№</w:t>
      </w:r>
      <w:r w:rsidR="00907562">
        <w:t xml:space="preserve"> </w:t>
      </w:r>
      <w:r w:rsidR="008D18B8">
        <w:t>18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F90639" w:rsidRDefault="00F90639" w:rsidP="00F90639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>
        <w:t>часть 1 с</w:t>
      </w:r>
      <w:r w:rsidRPr="00A9440A">
        <w:t>тать</w:t>
      </w:r>
      <w:r>
        <w:t>и</w:t>
      </w:r>
      <w:r w:rsidRPr="00A9440A">
        <w:t xml:space="preserve"> 1 изложить в следующей редакции:</w:t>
      </w:r>
    </w:p>
    <w:p w:rsidR="00181F4D" w:rsidRPr="00F90639" w:rsidRDefault="00F90639" w:rsidP="00F906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9">
        <w:rPr>
          <w:rFonts w:ascii="Times New Roman" w:hAnsi="Times New Roman" w:cs="Times New Roman"/>
          <w:sz w:val="24"/>
          <w:szCs w:val="24"/>
        </w:rPr>
        <w:t xml:space="preserve"> </w:t>
      </w:r>
      <w:r w:rsidR="001A2593" w:rsidRPr="00F90639">
        <w:rPr>
          <w:rFonts w:ascii="Times New Roman" w:hAnsi="Times New Roman" w:cs="Times New Roman"/>
          <w:sz w:val="24"/>
          <w:szCs w:val="24"/>
        </w:rPr>
        <w:t>«</w:t>
      </w:r>
      <w:r w:rsidR="00181F4D" w:rsidRPr="00F90639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городского округа город Выкса Нижегородской области (далее – городской округ) на 202</w:t>
      </w:r>
      <w:r w:rsidR="00321590" w:rsidRPr="00F90639">
        <w:rPr>
          <w:rFonts w:ascii="Times New Roman" w:hAnsi="Times New Roman" w:cs="Times New Roman"/>
          <w:sz w:val="24"/>
          <w:szCs w:val="24"/>
        </w:rPr>
        <w:t>6</w:t>
      </w:r>
      <w:r w:rsidR="00181F4D" w:rsidRPr="00F90639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181F4D" w:rsidRPr="00B30AC2" w:rsidRDefault="00181F4D" w:rsidP="00181F4D">
      <w:pPr>
        <w:autoSpaceDE w:val="0"/>
        <w:autoSpaceDN w:val="0"/>
        <w:ind w:firstLine="567"/>
        <w:jc w:val="both"/>
      </w:pPr>
      <w:r w:rsidRPr="00B30AC2">
        <w:t xml:space="preserve">1) общий объем доходов в сумме </w:t>
      </w:r>
      <w:r w:rsidR="00154444" w:rsidRPr="00B30AC2">
        <w:t>4 </w:t>
      </w:r>
      <w:r w:rsidR="00321590" w:rsidRPr="00B30AC2">
        <w:t>7</w:t>
      </w:r>
      <w:r w:rsidR="00B30AC2" w:rsidRPr="00B30AC2">
        <w:t>92</w:t>
      </w:r>
      <w:r w:rsidR="00446358" w:rsidRPr="00B30AC2">
        <w:t> </w:t>
      </w:r>
      <w:r w:rsidR="00B30AC2" w:rsidRPr="00B30AC2">
        <w:t>914</w:t>
      </w:r>
      <w:r w:rsidR="00446358" w:rsidRPr="00B30AC2">
        <w:t>,</w:t>
      </w:r>
      <w:r w:rsidR="00B30AC2" w:rsidRPr="00B30AC2">
        <w:t>0</w:t>
      </w:r>
      <w:r w:rsidRPr="00B30AC2">
        <w:t xml:space="preserve"> тыс.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</w:pPr>
      <w:r w:rsidRPr="00D91BB8">
        <w:t xml:space="preserve">2) общий объем расходов в сумме </w:t>
      </w:r>
      <w:bookmarkStart w:id="0" w:name="_GoBack"/>
      <w:bookmarkEnd w:id="0"/>
      <w:r w:rsidR="00F90639">
        <w:t>5 074</w:t>
      </w:r>
      <w:r w:rsidR="00D91BB8" w:rsidRPr="00D91BB8">
        <w:t> </w:t>
      </w:r>
      <w:r w:rsidR="00F90639">
        <w:t>5</w:t>
      </w:r>
      <w:r w:rsidR="00D91BB8" w:rsidRPr="00D91BB8">
        <w:t xml:space="preserve">75,4 </w:t>
      </w:r>
      <w:r w:rsidRPr="00D91BB8">
        <w:rPr>
          <w:bCs/>
        </w:rPr>
        <w:t>тыс</w:t>
      </w:r>
      <w:r w:rsidRPr="00D91BB8">
        <w:t>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  <w:rPr>
          <w:bCs/>
        </w:rPr>
      </w:pPr>
      <w:r w:rsidRPr="00D91BB8">
        <w:rPr>
          <w:bCs/>
        </w:rPr>
        <w:t xml:space="preserve">3) дефицит в сумме </w:t>
      </w:r>
      <w:r w:rsidR="00F90639">
        <w:rPr>
          <w:bCs/>
        </w:rPr>
        <w:t>281 6</w:t>
      </w:r>
      <w:r w:rsidR="00D91BB8" w:rsidRPr="00D91BB8">
        <w:rPr>
          <w:bCs/>
        </w:rPr>
        <w:t>61,4</w:t>
      </w:r>
      <w:r w:rsidRPr="00D91BB8">
        <w:rPr>
          <w:bCs/>
        </w:rPr>
        <w:t xml:space="preserve"> тыс. рублей.</w:t>
      </w:r>
      <w:r w:rsidR="00F90639">
        <w:rPr>
          <w:bCs/>
        </w:rPr>
        <w:t>»;</w:t>
      </w:r>
    </w:p>
    <w:p w:rsidR="005929CF" w:rsidRPr="00B30AC2" w:rsidRDefault="00BE5BF7" w:rsidP="00BE5BF7">
      <w:pPr>
        <w:autoSpaceDE w:val="0"/>
        <w:autoSpaceDN w:val="0"/>
        <w:ind w:firstLine="567"/>
        <w:jc w:val="both"/>
      </w:pPr>
      <w:r>
        <w:rPr>
          <w:bCs/>
        </w:rPr>
        <w:t xml:space="preserve">2)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BE5BF7" w:rsidP="00986EEA">
      <w:pPr>
        <w:ind w:firstLine="567"/>
        <w:jc w:val="both"/>
      </w:pPr>
      <w:r>
        <w:t>3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A176E1" w:rsidRDefault="00BE5BF7" w:rsidP="00BE5BF7">
      <w:pPr>
        <w:ind w:firstLine="567"/>
        <w:jc w:val="both"/>
      </w:pPr>
      <w:r>
        <w:t>4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8D18B8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8D18B8" w:rsidP="008D18B8">
            <w:pPr>
              <w:jc w:val="center"/>
            </w:pPr>
            <w:r>
              <w:t xml:space="preserve">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8D18B8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F90639">
        <w:t>17</w:t>
      </w:r>
      <w:r>
        <w:t>.</w:t>
      </w:r>
      <w:r w:rsidR="00932F82">
        <w:t>0</w:t>
      </w:r>
      <w:r w:rsidR="00F90639">
        <w:t>3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D18B8">
        <w:t>18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262 161,4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-4 816 580,7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-4 922 828,3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5 078 742,1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4 922 828,3</w:t>
            </w:r>
          </w:p>
        </w:tc>
      </w:tr>
      <w:tr w:rsidR="00F90639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281 661,4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90639" w:rsidRPr="00C94A9A" w:rsidRDefault="00F90639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7F4A04">
        <w:t>17</w:t>
      </w:r>
      <w:r>
        <w:t>.0</w:t>
      </w:r>
      <w:r w:rsidR="007F4A04">
        <w:t>3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D18B8">
        <w:t>18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046"/>
        <w:gridCol w:w="680"/>
        <w:gridCol w:w="1231"/>
        <w:gridCol w:w="1231"/>
        <w:gridCol w:w="1231"/>
        <w:gridCol w:w="260"/>
      </w:tblGrid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5 074 575,4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AA5FCC">
            <w:pPr>
              <w:ind w:left="-88" w:right="-17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2523D3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2 574 252,4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2 369 985,6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1 335 844,1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162 859,5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41 407,3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539 542,6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525 856,3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7F4A04" w:rsidRPr="004B4110" w:rsidTr="00F0179A">
        <w:trPr>
          <w:gridAfter w:val="1"/>
          <w:wAfter w:w="260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286 675,6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</w:pPr>
            <w: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</w:pPr>
            <w: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B19D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147 211,9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18 552,5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13 979,2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11 510,3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3 073,3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1 059 078,0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1 059 078,0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7F4A04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268 926,1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85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F4A04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F4A04" w:rsidRPr="004B4110" w:rsidTr="00F0179A">
        <w:trPr>
          <w:gridAfter w:val="1"/>
          <w:wAfter w:w="260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215 335,1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253 601,0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1 650 442,4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1 707 413,9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F4A04" w:rsidRPr="004B4110" w:rsidTr="00F0179A">
        <w:trPr>
          <w:gridAfter w:val="1"/>
          <w:wAfter w:w="260" w:type="dxa"/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30 681,0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F4A04" w:rsidRPr="004B4110" w:rsidTr="00F0179A">
        <w:trPr>
          <w:gridAfter w:val="1"/>
          <w:wAfter w:w="260" w:type="dxa"/>
          <w:trHeight w:val="153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F4A04" w:rsidRPr="004B4110" w:rsidTr="00F0179A">
        <w:trPr>
          <w:gridAfter w:val="1"/>
          <w:wAfter w:w="260" w:type="dxa"/>
          <w:trHeight w:val="88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F4A04" w:rsidRPr="004B4110" w:rsidTr="00F0179A">
        <w:trPr>
          <w:gridAfter w:val="1"/>
          <w:wAfter w:w="260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F4A04" w:rsidRPr="004B4110" w:rsidTr="00F0179A">
        <w:trPr>
          <w:gridAfter w:val="1"/>
          <w:wAfter w:w="260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7F4A0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7F4A0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7F4A0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Pr="00B10D64" w:rsidRDefault="007F4A04" w:rsidP="00E80CD5">
            <w:pPr>
              <w:ind w:left="-68" w:right="-68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Pr="00B10D64" w:rsidRDefault="007F4A04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77.7.12.00000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Pr="00B10D6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 w:rsidRPr="00B10D64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F4A04" w:rsidRPr="004B4110" w:rsidTr="00F0179A">
        <w:trPr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F4A04" w:rsidRDefault="007F4A04" w:rsidP="00E80CD5">
            <w:pPr>
              <w:ind w:left="-79" w:right="-79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72E3E">
        <w:t>17</w:t>
      </w:r>
      <w:r w:rsidR="006045F3">
        <w:t>.</w:t>
      </w:r>
      <w:r w:rsidR="00932F82">
        <w:t>0</w:t>
      </w:r>
      <w:r w:rsidR="00272E3E">
        <w:t>3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8D18B8">
        <w:t>18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F0179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F0179A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E80CD5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5 074 575,4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576 420,3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383 164,6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301 105,8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81 161,2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2 585 614,1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2 540 158,1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2 617 121,7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2 568 248,3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2 522 792,3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2 599 755,9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E81FEF">
            <w:pPr>
              <w:ind w:left="-68" w:right="-68"/>
            </w:pPr>
            <w:r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E81FEF">
            <w:pPr>
              <w:ind w:left="-68" w:right="-68"/>
            </w:pPr>
            <w:r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1 479 917,6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1 331 475,9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99 722,1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99 447,5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101 368,4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97 910,5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E762FF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E762FF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E762FF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E762FF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283 401,4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88 432,6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88 177,2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1 517 649,5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1 515 694,6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1 195 049,2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329 003,4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293 654,6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294 746,1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280 927,9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263 518,5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91 664,7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4 017,8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9 921,9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E762FF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415 952,7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471 994,5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29 201,8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215 335,1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18 701,9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507 027,7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E762FF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221 127,0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15 531,4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15 531,4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8375B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227 297,5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148 063,2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762FF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71 499,8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68 673,9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3 749,5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68 673,9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3 749,5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3 672,0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1 600,0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Pr="00F726C3" w:rsidRDefault="00E762FF" w:rsidP="00F726C3">
            <w:pPr>
              <w:ind w:left="-68" w:right="-68"/>
            </w:pPr>
            <w:r w:rsidRPr="00F726C3"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Pr="00F726C3" w:rsidRDefault="00E762FF" w:rsidP="00F726C3">
            <w:pPr>
              <w:ind w:left="-91" w:right="-91"/>
              <w:jc w:val="center"/>
            </w:pPr>
            <w:r w:rsidRPr="00F726C3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Pr="00F726C3" w:rsidRDefault="00E762FF" w:rsidP="00F726C3">
            <w:pPr>
              <w:ind w:left="-91" w:right="-91"/>
              <w:jc w:val="center"/>
            </w:pPr>
            <w:r w:rsidRPr="00F726C3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726C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  <w:rPr>
                <w:color w:val="000000"/>
              </w:rPr>
            </w:pPr>
            <w:r w:rsidRPr="00F726C3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726C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1 316,5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1 316,5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1 316,5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</w:tr>
      <w:tr w:rsidR="00E762F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E762F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59 871,6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59 871,6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11 935,8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2 659,1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2 659,1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2 659,1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9 276,7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9 276,7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9 276,7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45 455,9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47 335,8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4 365,5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4 365,5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4 365,5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762FF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396,0</w:t>
            </w:r>
          </w:p>
        </w:tc>
      </w:tr>
      <w:tr w:rsidR="00E762FF" w:rsidRPr="00E71FA7" w:rsidTr="00272E3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396,0</w:t>
            </w:r>
          </w:p>
        </w:tc>
      </w:tr>
      <w:tr w:rsidR="00E762FF" w:rsidRPr="00E71FA7" w:rsidTr="00F66750">
        <w:trPr>
          <w:gridAfter w:val="1"/>
          <w:wAfter w:w="281" w:type="dxa"/>
          <w:trHeight w:val="1340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396,0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</w:tr>
      <w:tr w:rsidR="00E762FF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762FF" w:rsidRPr="00F0145C" w:rsidRDefault="00E762FF" w:rsidP="00F726C3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Pr="00F726C3" w:rsidRDefault="00A72C2E" w:rsidP="008D18B8"/>
    <w:sectPr w:rsidR="00A72C2E" w:rsidRPr="00F726C3" w:rsidSect="008D18B8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AE" w:rsidRDefault="000469AE">
      <w:r>
        <w:separator/>
      </w:r>
    </w:p>
  </w:endnote>
  <w:endnote w:type="continuationSeparator" w:id="0">
    <w:p w:rsidR="000469AE" w:rsidRDefault="0004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AE" w:rsidRDefault="000469AE">
      <w:r>
        <w:separator/>
      </w:r>
    </w:p>
  </w:footnote>
  <w:footnote w:type="continuationSeparator" w:id="0">
    <w:p w:rsidR="000469AE" w:rsidRDefault="0004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0469AE" w:rsidRDefault="00046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27B">
          <w:rPr>
            <w:noProof/>
          </w:rPr>
          <w:t>3</w:t>
        </w:r>
        <w:r>
          <w:fldChar w:fldCharType="end"/>
        </w:r>
      </w:p>
    </w:sdtContent>
  </w:sdt>
  <w:p w:rsidR="000469AE" w:rsidRDefault="000469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AE" w:rsidRDefault="000469AE">
    <w:pPr>
      <w:pStyle w:val="a5"/>
      <w:jc w:val="center"/>
    </w:pPr>
  </w:p>
  <w:p w:rsidR="000469AE" w:rsidRDefault="000469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18B8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5727B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34"/>
    <w:rsid w:val="00BC5946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666BD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0D39558B-7A90-4015-B629-671E8486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2E9C-7636-4028-B1D4-8D22192A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94</Pages>
  <Words>56659</Words>
  <Characters>322962</Characters>
  <Application>Microsoft Office Word</Application>
  <DocSecurity>0</DocSecurity>
  <Lines>2691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166</cp:revision>
  <cp:lastPrinted>2024-01-19T11:53:00Z</cp:lastPrinted>
  <dcterms:created xsi:type="dcterms:W3CDTF">2020-11-25T10:42:00Z</dcterms:created>
  <dcterms:modified xsi:type="dcterms:W3CDTF">2026-03-17T06:27:00Z</dcterms:modified>
</cp:coreProperties>
</file>