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725" w:rsidRDefault="00ED7725" w:rsidP="00ED7725">
      <w:pPr>
        <w:jc w:val="center"/>
        <w:rPr>
          <w:b/>
          <w:bCs/>
          <w:sz w:val="28"/>
          <w:szCs w:val="28"/>
        </w:rPr>
      </w:pPr>
      <w:r w:rsidRPr="00ED7725">
        <w:rPr>
          <w:b/>
          <w:bCs/>
          <w:sz w:val="28"/>
          <w:szCs w:val="28"/>
        </w:rPr>
        <w:t xml:space="preserve">Исполнение плана </w:t>
      </w:r>
      <w:r w:rsidRPr="00ED7725">
        <w:rPr>
          <w:b/>
          <w:bCs/>
          <w:sz w:val="28"/>
          <w:szCs w:val="28"/>
          <w:lang w:val="en-US"/>
        </w:rPr>
        <w:t>I</w:t>
      </w:r>
      <w:r w:rsidRPr="00ED7725">
        <w:rPr>
          <w:b/>
          <w:bCs/>
          <w:sz w:val="28"/>
          <w:szCs w:val="28"/>
        </w:rPr>
        <w:t xml:space="preserve"> </w:t>
      </w:r>
      <w:r w:rsidR="00165891">
        <w:rPr>
          <w:b/>
          <w:bCs/>
          <w:sz w:val="28"/>
          <w:szCs w:val="28"/>
        </w:rPr>
        <w:t>полугодия</w:t>
      </w:r>
      <w:r w:rsidRPr="00ED7725">
        <w:rPr>
          <w:b/>
          <w:bCs/>
          <w:sz w:val="28"/>
          <w:szCs w:val="28"/>
        </w:rPr>
        <w:t xml:space="preserve"> 202</w:t>
      </w:r>
      <w:r w:rsidR="00525485" w:rsidRPr="00CC04C2">
        <w:rPr>
          <w:b/>
          <w:bCs/>
          <w:sz w:val="28"/>
          <w:szCs w:val="28"/>
        </w:rPr>
        <w:t>5</w:t>
      </w:r>
      <w:r w:rsidRPr="00ED7725">
        <w:rPr>
          <w:b/>
          <w:bCs/>
          <w:sz w:val="28"/>
          <w:szCs w:val="28"/>
        </w:rPr>
        <w:t xml:space="preserve"> года</w:t>
      </w:r>
    </w:p>
    <w:p w:rsidR="00ED7725" w:rsidRPr="00ED7725" w:rsidRDefault="00ED7725" w:rsidP="00ED77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налоговым и неналоговым доходам</w:t>
      </w:r>
      <w:r w:rsidRPr="00ED7725">
        <w:rPr>
          <w:b/>
          <w:bCs/>
          <w:sz w:val="28"/>
          <w:szCs w:val="28"/>
        </w:rPr>
        <w:t>.</w:t>
      </w:r>
    </w:p>
    <w:p w:rsidR="00ED7725" w:rsidRPr="00ED7725" w:rsidRDefault="00ED7725" w:rsidP="00ED7725">
      <w:pPr>
        <w:jc w:val="center"/>
        <w:rPr>
          <w:b/>
          <w:sz w:val="28"/>
          <w:szCs w:val="28"/>
        </w:rPr>
      </w:pPr>
      <w:r w:rsidRPr="00ED7725">
        <w:rPr>
          <w:b/>
          <w:bCs/>
          <w:sz w:val="28"/>
          <w:szCs w:val="28"/>
        </w:rPr>
        <w:t>Структура налоговых и неналоговых доходов</w:t>
      </w:r>
    </w:p>
    <w:p w:rsidR="00145429" w:rsidRDefault="00145429" w:rsidP="00ED7725">
      <w:pPr>
        <w:jc w:val="center"/>
        <w:rPr>
          <w:b/>
          <w:sz w:val="28"/>
          <w:szCs w:val="28"/>
        </w:rPr>
      </w:pPr>
    </w:p>
    <w:p w:rsidR="00507D3B" w:rsidRDefault="00525485" w:rsidP="00ED7725">
      <w:pPr>
        <w:jc w:val="center"/>
        <w:rPr>
          <w:b/>
          <w:sz w:val="28"/>
          <w:szCs w:val="28"/>
        </w:rPr>
      </w:pPr>
      <w:r w:rsidRPr="005B7E6A">
        <w:rPr>
          <w:noProof/>
        </w:rPr>
        <w:drawing>
          <wp:inline distT="0" distB="0" distL="0" distR="0" wp14:anchorId="7B361B3F" wp14:editId="65C041A9">
            <wp:extent cx="6124575" cy="3171825"/>
            <wp:effectExtent l="0" t="0" r="9525" b="9525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D1ACF" w:rsidRDefault="003D1ACF" w:rsidP="00ED7725">
      <w:pPr>
        <w:jc w:val="center"/>
        <w:rPr>
          <w:b/>
          <w:sz w:val="28"/>
          <w:szCs w:val="28"/>
          <w:lang w:val="en-US"/>
        </w:rPr>
      </w:pPr>
    </w:p>
    <w:p w:rsidR="00525485" w:rsidRPr="00525485" w:rsidRDefault="00525485" w:rsidP="00ED7725">
      <w:pPr>
        <w:jc w:val="center"/>
        <w:rPr>
          <w:b/>
          <w:sz w:val="28"/>
          <w:szCs w:val="28"/>
          <w:lang w:val="en-US"/>
        </w:rPr>
      </w:pPr>
    </w:p>
    <w:p w:rsidR="00ED7725" w:rsidRDefault="00ED7725" w:rsidP="00ED77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расходов на 1.0</w:t>
      </w:r>
      <w:r w:rsidR="007C7DEC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.202</w:t>
      </w:r>
      <w:r w:rsidR="00525485"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года</w:t>
      </w:r>
    </w:p>
    <w:p w:rsidR="0009356B" w:rsidRDefault="0009356B" w:rsidP="00ED7725">
      <w:pPr>
        <w:jc w:val="center"/>
        <w:rPr>
          <w:b/>
          <w:sz w:val="28"/>
          <w:szCs w:val="28"/>
        </w:rPr>
      </w:pPr>
    </w:p>
    <w:p w:rsidR="007C7DEC" w:rsidRDefault="00525485" w:rsidP="00ED7725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2F7A8A4" wp14:editId="520D866D">
            <wp:extent cx="6067425" cy="41624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25485" w:rsidRDefault="00525485" w:rsidP="00D43E60">
      <w:pPr>
        <w:jc w:val="center"/>
        <w:rPr>
          <w:b/>
          <w:color w:val="000000"/>
          <w:sz w:val="28"/>
          <w:szCs w:val="28"/>
          <w:lang w:val="en-US"/>
        </w:rPr>
      </w:pPr>
    </w:p>
    <w:p w:rsidR="00D43E60" w:rsidRDefault="00D43E60" w:rsidP="00D43E60">
      <w:pPr>
        <w:jc w:val="center"/>
        <w:rPr>
          <w:b/>
          <w:color w:val="000000"/>
          <w:sz w:val="28"/>
          <w:szCs w:val="28"/>
        </w:rPr>
      </w:pPr>
      <w:r w:rsidRPr="00D43E60">
        <w:rPr>
          <w:b/>
          <w:color w:val="000000"/>
          <w:sz w:val="28"/>
          <w:szCs w:val="28"/>
        </w:rPr>
        <w:lastRenderedPageBreak/>
        <w:t xml:space="preserve">Изменение </w:t>
      </w:r>
      <w:r w:rsidR="00CC04C2">
        <w:rPr>
          <w:b/>
          <w:color w:val="000000"/>
          <w:sz w:val="28"/>
          <w:szCs w:val="28"/>
        </w:rPr>
        <w:t>де</w:t>
      </w:r>
      <w:r w:rsidRPr="00D43E60">
        <w:rPr>
          <w:b/>
          <w:color w:val="000000"/>
          <w:sz w:val="28"/>
          <w:szCs w:val="28"/>
        </w:rPr>
        <w:t xml:space="preserve">фицита за I </w:t>
      </w:r>
      <w:r w:rsidR="007C7DEC">
        <w:rPr>
          <w:b/>
          <w:color w:val="000000"/>
          <w:sz w:val="28"/>
          <w:szCs w:val="28"/>
        </w:rPr>
        <w:t>полугодие</w:t>
      </w:r>
      <w:r w:rsidRPr="00D43E60">
        <w:rPr>
          <w:b/>
          <w:color w:val="000000"/>
          <w:sz w:val="28"/>
          <w:szCs w:val="28"/>
        </w:rPr>
        <w:t xml:space="preserve"> 20</w:t>
      </w:r>
      <w:r w:rsidR="003D427B">
        <w:rPr>
          <w:b/>
          <w:color w:val="000000"/>
          <w:sz w:val="28"/>
          <w:szCs w:val="28"/>
        </w:rPr>
        <w:t>2</w:t>
      </w:r>
      <w:r w:rsidR="00CC04C2">
        <w:rPr>
          <w:b/>
          <w:color w:val="000000"/>
          <w:sz w:val="28"/>
          <w:szCs w:val="28"/>
        </w:rPr>
        <w:t>5</w:t>
      </w:r>
      <w:r w:rsidRPr="00D43E60">
        <w:rPr>
          <w:b/>
          <w:color w:val="000000"/>
          <w:sz w:val="28"/>
          <w:szCs w:val="28"/>
        </w:rPr>
        <w:t xml:space="preserve"> года, тыс. рублей</w:t>
      </w:r>
    </w:p>
    <w:p w:rsidR="0009356B" w:rsidRDefault="0009356B" w:rsidP="00D43E60">
      <w:pPr>
        <w:jc w:val="center"/>
        <w:rPr>
          <w:b/>
          <w:color w:val="000000"/>
          <w:sz w:val="28"/>
          <w:szCs w:val="28"/>
        </w:rPr>
      </w:pPr>
    </w:p>
    <w:p w:rsidR="0009356B" w:rsidRPr="00D43E60" w:rsidRDefault="00CC04C2" w:rsidP="00D43E60">
      <w:pPr>
        <w:jc w:val="center"/>
        <w:rPr>
          <w:b/>
          <w:color w:val="000000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0DCC93F2" wp14:editId="28000EE4">
            <wp:extent cx="6480175" cy="3905250"/>
            <wp:effectExtent l="0" t="0" r="1587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0"/>
    </w:p>
    <w:p w:rsidR="00EB617D" w:rsidRDefault="00EB617D" w:rsidP="00377471">
      <w:pPr>
        <w:jc w:val="right"/>
        <w:rPr>
          <w:b/>
          <w:sz w:val="28"/>
          <w:szCs w:val="28"/>
        </w:rPr>
      </w:pPr>
    </w:p>
    <w:p w:rsidR="00EB617D" w:rsidRDefault="00EB617D" w:rsidP="00377471">
      <w:pPr>
        <w:jc w:val="right"/>
        <w:rPr>
          <w:b/>
          <w:sz w:val="28"/>
          <w:szCs w:val="28"/>
        </w:rPr>
      </w:pPr>
    </w:p>
    <w:p w:rsidR="00D43E60" w:rsidRDefault="00D43E60" w:rsidP="00D43E6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Объем муниципального долга</w:t>
      </w:r>
      <w:r w:rsidRPr="00D43E60">
        <w:rPr>
          <w:b/>
          <w:color w:val="000000"/>
          <w:sz w:val="28"/>
          <w:szCs w:val="28"/>
        </w:rPr>
        <w:t xml:space="preserve"> за I </w:t>
      </w:r>
      <w:r w:rsidR="007C7DEC">
        <w:rPr>
          <w:b/>
          <w:color w:val="000000"/>
          <w:sz w:val="28"/>
          <w:szCs w:val="28"/>
        </w:rPr>
        <w:t>полугодие</w:t>
      </w:r>
      <w:r w:rsidRPr="00D43E60">
        <w:rPr>
          <w:b/>
          <w:color w:val="000000"/>
          <w:sz w:val="28"/>
          <w:szCs w:val="28"/>
        </w:rPr>
        <w:t xml:space="preserve"> 20</w:t>
      </w:r>
      <w:r w:rsidR="003D427B">
        <w:rPr>
          <w:b/>
          <w:color w:val="000000"/>
          <w:sz w:val="28"/>
          <w:szCs w:val="28"/>
        </w:rPr>
        <w:t>2</w:t>
      </w:r>
      <w:r w:rsidR="00CC04C2">
        <w:rPr>
          <w:b/>
          <w:color w:val="000000"/>
          <w:sz w:val="28"/>
          <w:szCs w:val="28"/>
        </w:rPr>
        <w:t>5</w:t>
      </w:r>
      <w:r w:rsidRPr="00D43E60">
        <w:rPr>
          <w:b/>
          <w:color w:val="000000"/>
          <w:sz w:val="28"/>
          <w:szCs w:val="28"/>
        </w:rPr>
        <w:t xml:space="preserve"> года, тыс. рублей</w:t>
      </w:r>
    </w:p>
    <w:p w:rsidR="00093810" w:rsidRPr="00D43E60" w:rsidRDefault="00093810" w:rsidP="00D43E60">
      <w:pPr>
        <w:jc w:val="center"/>
        <w:rPr>
          <w:b/>
          <w:color w:val="000000"/>
          <w:sz w:val="28"/>
          <w:szCs w:val="28"/>
        </w:rPr>
      </w:pPr>
    </w:p>
    <w:p w:rsidR="00D43E60" w:rsidRDefault="009F2112" w:rsidP="0073718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9E7FF93" wp14:editId="69F8868D">
            <wp:extent cx="6448425" cy="32670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D43E60" w:rsidSect="007C7DEC">
      <w:headerReference w:type="first" r:id="rId12"/>
      <w:pgSz w:w="11906" w:h="16838" w:code="9"/>
      <w:pgMar w:top="1134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89D" w:rsidRDefault="00B5789D" w:rsidP="00C00757">
      <w:r>
        <w:separator/>
      </w:r>
    </w:p>
  </w:endnote>
  <w:endnote w:type="continuationSeparator" w:id="0">
    <w:p w:rsidR="00B5789D" w:rsidRDefault="00B5789D" w:rsidP="00C0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89D" w:rsidRDefault="00B5789D" w:rsidP="00C00757">
      <w:r>
        <w:separator/>
      </w:r>
    </w:p>
  </w:footnote>
  <w:footnote w:type="continuationSeparator" w:id="0">
    <w:p w:rsidR="00B5789D" w:rsidRDefault="00B5789D" w:rsidP="00C00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CA3" w:rsidRDefault="005F6CA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33304D"/>
    <w:multiLevelType w:val="hybridMultilevel"/>
    <w:tmpl w:val="6E4A87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B7"/>
    <w:rsid w:val="00001C30"/>
    <w:rsid w:val="00005C48"/>
    <w:rsid w:val="00011B19"/>
    <w:rsid w:val="00023BBA"/>
    <w:rsid w:val="00035507"/>
    <w:rsid w:val="00042313"/>
    <w:rsid w:val="00047254"/>
    <w:rsid w:val="000508FE"/>
    <w:rsid w:val="00051B28"/>
    <w:rsid w:val="000575E6"/>
    <w:rsid w:val="00067344"/>
    <w:rsid w:val="00074C6D"/>
    <w:rsid w:val="00075D40"/>
    <w:rsid w:val="0009356B"/>
    <w:rsid w:val="00093810"/>
    <w:rsid w:val="000A0FA8"/>
    <w:rsid w:val="000A58F7"/>
    <w:rsid w:val="000B0D0C"/>
    <w:rsid w:val="000C495C"/>
    <w:rsid w:val="000C75FC"/>
    <w:rsid w:val="000D03FB"/>
    <w:rsid w:val="000E0112"/>
    <w:rsid w:val="000E0407"/>
    <w:rsid w:val="000E441F"/>
    <w:rsid w:val="000F40DF"/>
    <w:rsid w:val="000F5C21"/>
    <w:rsid w:val="00101B2A"/>
    <w:rsid w:val="00110FFB"/>
    <w:rsid w:val="0011161B"/>
    <w:rsid w:val="0011302C"/>
    <w:rsid w:val="00123D20"/>
    <w:rsid w:val="00137AAC"/>
    <w:rsid w:val="0014027E"/>
    <w:rsid w:val="0014313E"/>
    <w:rsid w:val="00144524"/>
    <w:rsid w:val="00144D30"/>
    <w:rsid w:val="00145429"/>
    <w:rsid w:val="00153454"/>
    <w:rsid w:val="001545E3"/>
    <w:rsid w:val="001605D0"/>
    <w:rsid w:val="001653E2"/>
    <w:rsid w:val="00165891"/>
    <w:rsid w:val="001658CD"/>
    <w:rsid w:val="00165F18"/>
    <w:rsid w:val="00174F5D"/>
    <w:rsid w:val="001763B7"/>
    <w:rsid w:val="00177554"/>
    <w:rsid w:val="00181B21"/>
    <w:rsid w:val="001864FB"/>
    <w:rsid w:val="001A6026"/>
    <w:rsid w:val="001B7161"/>
    <w:rsid w:val="001C2FE3"/>
    <w:rsid w:val="001C7C51"/>
    <w:rsid w:val="001D4CF8"/>
    <w:rsid w:val="001D566E"/>
    <w:rsid w:val="001E356E"/>
    <w:rsid w:val="001F3884"/>
    <w:rsid w:val="001F3C10"/>
    <w:rsid w:val="001F7BE5"/>
    <w:rsid w:val="002034E6"/>
    <w:rsid w:val="002076D9"/>
    <w:rsid w:val="00211B22"/>
    <w:rsid w:val="00211F24"/>
    <w:rsid w:val="00216A20"/>
    <w:rsid w:val="00221AF4"/>
    <w:rsid w:val="00225CA0"/>
    <w:rsid w:val="00231F0F"/>
    <w:rsid w:val="002434E3"/>
    <w:rsid w:val="00245AAC"/>
    <w:rsid w:val="00253969"/>
    <w:rsid w:val="00255339"/>
    <w:rsid w:val="002610A7"/>
    <w:rsid w:val="00265793"/>
    <w:rsid w:val="00274D7A"/>
    <w:rsid w:val="0028644A"/>
    <w:rsid w:val="00296E24"/>
    <w:rsid w:val="002A3FF8"/>
    <w:rsid w:val="002B0C41"/>
    <w:rsid w:val="002B47F1"/>
    <w:rsid w:val="002E42EE"/>
    <w:rsid w:val="002F0724"/>
    <w:rsid w:val="002F35B2"/>
    <w:rsid w:val="0031108D"/>
    <w:rsid w:val="003113D6"/>
    <w:rsid w:val="003129DC"/>
    <w:rsid w:val="0032100A"/>
    <w:rsid w:val="00327686"/>
    <w:rsid w:val="003302FA"/>
    <w:rsid w:val="003318C0"/>
    <w:rsid w:val="0033249A"/>
    <w:rsid w:val="00337BF3"/>
    <w:rsid w:val="00340EC1"/>
    <w:rsid w:val="003419BA"/>
    <w:rsid w:val="00344A7F"/>
    <w:rsid w:val="003520FD"/>
    <w:rsid w:val="00354C01"/>
    <w:rsid w:val="00356E4F"/>
    <w:rsid w:val="0035765F"/>
    <w:rsid w:val="003645CA"/>
    <w:rsid w:val="003665B6"/>
    <w:rsid w:val="003721EE"/>
    <w:rsid w:val="00377471"/>
    <w:rsid w:val="00381B87"/>
    <w:rsid w:val="00382310"/>
    <w:rsid w:val="00396450"/>
    <w:rsid w:val="003A479A"/>
    <w:rsid w:val="003B0A50"/>
    <w:rsid w:val="003B2E8D"/>
    <w:rsid w:val="003B2F97"/>
    <w:rsid w:val="003B36AB"/>
    <w:rsid w:val="003B4778"/>
    <w:rsid w:val="003B6D54"/>
    <w:rsid w:val="003B77AF"/>
    <w:rsid w:val="003C1BA1"/>
    <w:rsid w:val="003D1ACF"/>
    <w:rsid w:val="003D427B"/>
    <w:rsid w:val="003F0654"/>
    <w:rsid w:val="003F2130"/>
    <w:rsid w:val="003F4913"/>
    <w:rsid w:val="004034E9"/>
    <w:rsid w:val="004122F5"/>
    <w:rsid w:val="004149CC"/>
    <w:rsid w:val="00420A94"/>
    <w:rsid w:val="004266AF"/>
    <w:rsid w:val="00427BB0"/>
    <w:rsid w:val="004320CC"/>
    <w:rsid w:val="00433795"/>
    <w:rsid w:val="00444E90"/>
    <w:rsid w:val="0045641C"/>
    <w:rsid w:val="004610F0"/>
    <w:rsid w:val="00472E6F"/>
    <w:rsid w:val="00480497"/>
    <w:rsid w:val="00481A82"/>
    <w:rsid w:val="00485507"/>
    <w:rsid w:val="00495525"/>
    <w:rsid w:val="004A0E4A"/>
    <w:rsid w:val="004B3745"/>
    <w:rsid w:val="004C3479"/>
    <w:rsid w:val="004D1941"/>
    <w:rsid w:val="004D413E"/>
    <w:rsid w:val="004D4BF6"/>
    <w:rsid w:val="004E381D"/>
    <w:rsid w:val="004F4567"/>
    <w:rsid w:val="00506963"/>
    <w:rsid w:val="0050752D"/>
    <w:rsid w:val="00507A62"/>
    <w:rsid w:val="00507D3B"/>
    <w:rsid w:val="0051203A"/>
    <w:rsid w:val="005132EB"/>
    <w:rsid w:val="00525485"/>
    <w:rsid w:val="00543189"/>
    <w:rsid w:val="00561917"/>
    <w:rsid w:val="005671F3"/>
    <w:rsid w:val="005767CE"/>
    <w:rsid w:val="00577E7F"/>
    <w:rsid w:val="00582718"/>
    <w:rsid w:val="005833CD"/>
    <w:rsid w:val="00591A06"/>
    <w:rsid w:val="00595F75"/>
    <w:rsid w:val="005A00B0"/>
    <w:rsid w:val="005C0542"/>
    <w:rsid w:val="005C3330"/>
    <w:rsid w:val="005C4194"/>
    <w:rsid w:val="005C48DF"/>
    <w:rsid w:val="005D4AE3"/>
    <w:rsid w:val="005D66B1"/>
    <w:rsid w:val="005D78BC"/>
    <w:rsid w:val="005E1A93"/>
    <w:rsid w:val="005E3402"/>
    <w:rsid w:val="005E48BB"/>
    <w:rsid w:val="005E73C2"/>
    <w:rsid w:val="005E73C9"/>
    <w:rsid w:val="005F2402"/>
    <w:rsid w:val="005F6CA3"/>
    <w:rsid w:val="005F7BA1"/>
    <w:rsid w:val="00601193"/>
    <w:rsid w:val="006057FE"/>
    <w:rsid w:val="00610712"/>
    <w:rsid w:val="006108D5"/>
    <w:rsid w:val="00613C3D"/>
    <w:rsid w:val="006157A3"/>
    <w:rsid w:val="00647841"/>
    <w:rsid w:val="00653939"/>
    <w:rsid w:val="00653ADB"/>
    <w:rsid w:val="00675EAD"/>
    <w:rsid w:val="00680B30"/>
    <w:rsid w:val="00686639"/>
    <w:rsid w:val="00695F1D"/>
    <w:rsid w:val="006A5C91"/>
    <w:rsid w:val="006A757B"/>
    <w:rsid w:val="006B26C8"/>
    <w:rsid w:val="006B6F03"/>
    <w:rsid w:val="006B7837"/>
    <w:rsid w:val="006D1583"/>
    <w:rsid w:val="006E5D6C"/>
    <w:rsid w:val="006E7437"/>
    <w:rsid w:val="006F03FC"/>
    <w:rsid w:val="006F5888"/>
    <w:rsid w:val="00701D30"/>
    <w:rsid w:val="00705108"/>
    <w:rsid w:val="00706D71"/>
    <w:rsid w:val="00707995"/>
    <w:rsid w:val="00711BA9"/>
    <w:rsid w:val="00713293"/>
    <w:rsid w:val="00713EFE"/>
    <w:rsid w:val="00721453"/>
    <w:rsid w:val="00731455"/>
    <w:rsid w:val="00731CAD"/>
    <w:rsid w:val="007353EA"/>
    <w:rsid w:val="00735909"/>
    <w:rsid w:val="00737180"/>
    <w:rsid w:val="007432F9"/>
    <w:rsid w:val="00747CCC"/>
    <w:rsid w:val="00747DEC"/>
    <w:rsid w:val="007549C4"/>
    <w:rsid w:val="007563FE"/>
    <w:rsid w:val="007607FA"/>
    <w:rsid w:val="007745CB"/>
    <w:rsid w:val="00787841"/>
    <w:rsid w:val="007928B5"/>
    <w:rsid w:val="0079338E"/>
    <w:rsid w:val="0079357E"/>
    <w:rsid w:val="0079361B"/>
    <w:rsid w:val="00793EDE"/>
    <w:rsid w:val="007A1250"/>
    <w:rsid w:val="007A1653"/>
    <w:rsid w:val="007B4BB2"/>
    <w:rsid w:val="007C7DEC"/>
    <w:rsid w:val="007E3F50"/>
    <w:rsid w:val="007F1135"/>
    <w:rsid w:val="007F3FC1"/>
    <w:rsid w:val="007F558B"/>
    <w:rsid w:val="007F5CB2"/>
    <w:rsid w:val="00803288"/>
    <w:rsid w:val="00807607"/>
    <w:rsid w:val="00812618"/>
    <w:rsid w:val="00817D5E"/>
    <w:rsid w:val="00823764"/>
    <w:rsid w:val="00825AC8"/>
    <w:rsid w:val="00833CCE"/>
    <w:rsid w:val="00835E24"/>
    <w:rsid w:val="00836F47"/>
    <w:rsid w:val="008457AC"/>
    <w:rsid w:val="00852435"/>
    <w:rsid w:val="00875AD5"/>
    <w:rsid w:val="00882514"/>
    <w:rsid w:val="00887C80"/>
    <w:rsid w:val="008A0CD5"/>
    <w:rsid w:val="008A13C9"/>
    <w:rsid w:val="008B6081"/>
    <w:rsid w:val="008B7BA7"/>
    <w:rsid w:val="008C3A9F"/>
    <w:rsid w:val="008D1662"/>
    <w:rsid w:val="008D2E55"/>
    <w:rsid w:val="008D32B8"/>
    <w:rsid w:val="008F08CB"/>
    <w:rsid w:val="008F72A4"/>
    <w:rsid w:val="009009D9"/>
    <w:rsid w:val="00902D76"/>
    <w:rsid w:val="00903CFB"/>
    <w:rsid w:val="00906599"/>
    <w:rsid w:val="0091555B"/>
    <w:rsid w:val="0093046A"/>
    <w:rsid w:val="00930C67"/>
    <w:rsid w:val="00942951"/>
    <w:rsid w:val="0095402C"/>
    <w:rsid w:val="00961739"/>
    <w:rsid w:val="0096686E"/>
    <w:rsid w:val="00977B69"/>
    <w:rsid w:val="009863C1"/>
    <w:rsid w:val="00992D70"/>
    <w:rsid w:val="00996289"/>
    <w:rsid w:val="009A02D5"/>
    <w:rsid w:val="009A22E0"/>
    <w:rsid w:val="009A2E74"/>
    <w:rsid w:val="009B36CC"/>
    <w:rsid w:val="009C47EB"/>
    <w:rsid w:val="009D0197"/>
    <w:rsid w:val="009D6AD3"/>
    <w:rsid w:val="009D761E"/>
    <w:rsid w:val="009E1E7A"/>
    <w:rsid w:val="009E3B6A"/>
    <w:rsid w:val="009E7BF0"/>
    <w:rsid w:val="009F2112"/>
    <w:rsid w:val="009F343D"/>
    <w:rsid w:val="009F66F0"/>
    <w:rsid w:val="00A0202C"/>
    <w:rsid w:val="00A02BB9"/>
    <w:rsid w:val="00A13402"/>
    <w:rsid w:val="00A16E80"/>
    <w:rsid w:val="00A1750D"/>
    <w:rsid w:val="00A21BC7"/>
    <w:rsid w:val="00A27641"/>
    <w:rsid w:val="00A30DB1"/>
    <w:rsid w:val="00A32B3E"/>
    <w:rsid w:val="00A40C0F"/>
    <w:rsid w:val="00A41B72"/>
    <w:rsid w:val="00A50193"/>
    <w:rsid w:val="00A5759F"/>
    <w:rsid w:val="00A62E3A"/>
    <w:rsid w:val="00A66A71"/>
    <w:rsid w:val="00A73489"/>
    <w:rsid w:val="00A74AC9"/>
    <w:rsid w:val="00A76686"/>
    <w:rsid w:val="00A83A6E"/>
    <w:rsid w:val="00A90E1B"/>
    <w:rsid w:val="00A92D03"/>
    <w:rsid w:val="00A9653B"/>
    <w:rsid w:val="00AA1D62"/>
    <w:rsid w:val="00AC10A8"/>
    <w:rsid w:val="00AE4B23"/>
    <w:rsid w:val="00AE4EE8"/>
    <w:rsid w:val="00AF09E9"/>
    <w:rsid w:val="00AF2426"/>
    <w:rsid w:val="00AF7E92"/>
    <w:rsid w:val="00B0562A"/>
    <w:rsid w:val="00B05FE5"/>
    <w:rsid w:val="00B12530"/>
    <w:rsid w:val="00B150D4"/>
    <w:rsid w:val="00B25635"/>
    <w:rsid w:val="00B30DD3"/>
    <w:rsid w:val="00B46072"/>
    <w:rsid w:val="00B503F4"/>
    <w:rsid w:val="00B5789D"/>
    <w:rsid w:val="00B60CC5"/>
    <w:rsid w:val="00B62A7C"/>
    <w:rsid w:val="00B70B65"/>
    <w:rsid w:val="00B736B7"/>
    <w:rsid w:val="00B75EA3"/>
    <w:rsid w:val="00B77F61"/>
    <w:rsid w:val="00B838DE"/>
    <w:rsid w:val="00B849B3"/>
    <w:rsid w:val="00B84F25"/>
    <w:rsid w:val="00B86400"/>
    <w:rsid w:val="00B951DC"/>
    <w:rsid w:val="00BA1BB3"/>
    <w:rsid w:val="00BA6B3C"/>
    <w:rsid w:val="00BB2E59"/>
    <w:rsid w:val="00BB31B9"/>
    <w:rsid w:val="00BC02EA"/>
    <w:rsid w:val="00C00757"/>
    <w:rsid w:val="00C0141F"/>
    <w:rsid w:val="00C16B68"/>
    <w:rsid w:val="00C25E8E"/>
    <w:rsid w:val="00C26FFB"/>
    <w:rsid w:val="00C27FB3"/>
    <w:rsid w:val="00C33D89"/>
    <w:rsid w:val="00C353E3"/>
    <w:rsid w:val="00C36678"/>
    <w:rsid w:val="00C41C18"/>
    <w:rsid w:val="00C43B74"/>
    <w:rsid w:val="00C61D75"/>
    <w:rsid w:val="00C70A5F"/>
    <w:rsid w:val="00C72031"/>
    <w:rsid w:val="00C72D66"/>
    <w:rsid w:val="00C76CD2"/>
    <w:rsid w:val="00C805F9"/>
    <w:rsid w:val="00C825DC"/>
    <w:rsid w:val="00C8375E"/>
    <w:rsid w:val="00C858B4"/>
    <w:rsid w:val="00C85D9F"/>
    <w:rsid w:val="00C87194"/>
    <w:rsid w:val="00C91BBE"/>
    <w:rsid w:val="00C92218"/>
    <w:rsid w:val="00C95DCD"/>
    <w:rsid w:val="00C97769"/>
    <w:rsid w:val="00CB2967"/>
    <w:rsid w:val="00CB3303"/>
    <w:rsid w:val="00CC04C2"/>
    <w:rsid w:val="00CC10E5"/>
    <w:rsid w:val="00CC33BE"/>
    <w:rsid w:val="00CC687F"/>
    <w:rsid w:val="00CD7810"/>
    <w:rsid w:val="00CE2CCC"/>
    <w:rsid w:val="00CE3F78"/>
    <w:rsid w:val="00CE79E9"/>
    <w:rsid w:val="00CF1F8F"/>
    <w:rsid w:val="00CF3E4D"/>
    <w:rsid w:val="00CF6AC3"/>
    <w:rsid w:val="00D12EB5"/>
    <w:rsid w:val="00D13A08"/>
    <w:rsid w:val="00D15207"/>
    <w:rsid w:val="00D231DC"/>
    <w:rsid w:val="00D34CDA"/>
    <w:rsid w:val="00D41460"/>
    <w:rsid w:val="00D43E60"/>
    <w:rsid w:val="00D452E3"/>
    <w:rsid w:val="00D50364"/>
    <w:rsid w:val="00D54CDC"/>
    <w:rsid w:val="00D56AC4"/>
    <w:rsid w:val="00D575A8"/>
    <w:rsid w:val="00D60F09"/>
    <w:rsid w:val="00D61488"/>
    <w:rsid w:val="00D7062A"/>
    <w:rsid w:val="00D749F0"/>
    <w:rsid w:val="00D90CD9"/>
    <w:rsid w:val="00D96351"/>
    <w:rsid w:val="00D97FF6"/>
    <w:rsid w:val="00DA1967"/>
    <w:rsid w:val="00DA46FD"/>
    <w:rsid w:val="00DB1486"/>
    <w:rsid w:val="00DB25AC"/>
    <w:rsid w:val="00DB4C2A"/>
    <w:rsid w:val="00DD4983"/>
    <w:rsid w:val="00DD572F"/>
    <w:rsid w:val="00DE40C8"/>
    <w:rsid w:val="00DE43D5"/>
    <w:rsid w:val="00DF2BD6"/>
    <w:rsid w:val="00DF401D"/>
    <w:rsid w:val="00DF4DA7"/>
    <w:rsid w:val="00DF64EA"/>
    <w:rsid w:val="00E00B2F"/>
    <w:rsid w:val="00E02CFA"/>
    <w:rsid w:val="00E07533"/>
    <w:rsid w:val="00E07675"/>
    <w:rsid w:val="00E11684"/>
    <w:rsid w:val="00E35088"/>
    <w:rsid w:val="00E400FE"/>
    <w:rsid w:val="00E463C9"/>
    <w:rsid w:val="00E7201F"/>
    <w:rsid w:val="00E84596"/>
    <w:rsid w:val="00E84BDB"/>
    <w:rsid w:val="00E84D05"/>
    <w:rsid w:val="00E87E89"/>
    <w:rsid w:val="00E932E7"/>
    <w:rsid w:val="00E93AB4"/>
    <w:rsid w:val="00E96129"/>
    <w:rsid w:val="00E966BC"/>
    <w:rsid w:val="00EA33B3"/>
    <w:rsid w:val="00EA49B5"/>
    <w:rsid w:val="00EB0D66"/>
    <w:rsid w:val="00EB617D"/>
    <w:rsid w:val="00EC5801"/>
    <w:rsid w:val="00EC78B0"/>
    <w:rsid w:val="00ED5100"/>
    <w:rsid w:val="00ED7725"/>
    <w:rsid w:val="00EE0B8D"/>
    <w:rsid w:val="00EE483D"/>
    <w:rsid w:val="00EE4FFE"/>
    <w:rsid w:val="00EF0B7E"/>
    <w:rsid w:val="00EF0C5A"/>
    <w:rsid w:val="00F048A2"/>
    <w:rsid w:val="00F14F1D"/>
    <w:rsid w:val="00F205BC"/>
    <w:rsid w:val="00F223CC"/>
    <w:rsid w:val="00F2546C"/>
    <w:rsid w:val="00F34A38"/>
    <w:rsid w:val="00F34A84"/>
    <w:rsid w:val="00F34D5A"/>
    <w:rsid w:val="00F45B16"/>
    <w:rsid w:val="00F45CE4"/>
    <w:rsid w:val="00F5672C"/>
    <w:rsid w:val="00F57DA7"/>
    <w:rsid w:val="00F63218"/>
    <w:rsid w:val="00F659B8"/>
    <w:rsid w:val="00F70492"/>
    <w:rsid w:val="00F71211"/>
    <w:rsid w:val="00F73329"/>
    <w:rsid w:val="00F816F4"/>
    <w:rsid w:val="00F877BD"/>
    <w:rsid w:val="00F9629A"/>
    <w:rsid w:val="00FA0EA5"/>
    <w:rsid w:val="00FA6077"/>
    <w:rsid w:val="00FB72CD"/>
    <w:rsid w:val="00FC28BB"/>
    <w:rsid w:val="00FD1BB7"/>
    <w:rsid w:val="00FD752B"/>
    <w:rsid w:val="00FE06C1"/>
    <w:rsid w:val="00FE2FA9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D38F2E3A-7E5D-490D-B6D3-8B1A61CF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rsid w:val="006A5C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60CC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C2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a"/>
    <w:rsid w:val="009D7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7">
    <w:name w:val="header"/>
    <w:basedOn w:val="a"/>
    <w:link w:val="a8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00757"/>
    <w:rPr>
      <w:sz w:val="24"/>
      <w:szCs w:val="24"/>
    </w:rPr>
  </w:style>
  <w:style w:type="paragraph" w:styleId="a9">
    <w:name w:val="footer"/>
    <w:basedOn w:val="a"/>
    <w:link w:val="aa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00757"/>
    <w:rPr>
      <w:sz w:val="24"/>
      <w:szCs w:val="24"/>
    </w:rPr>
  </w:style>
  <w:style w:type="character" w:styleId="ab">
    <w:name w:val="Hyperlink"/>
    <w:uiPriority w:val="99"/>
    <w:unhideWhenUsed/>
    <w:rsid w:val="0051203A"/>
    <w:rPr>
      <w:color w:val="0000FF"/>
      <w:u w:val="single"/>
    </w:rPr>
  </w:style>
  <w:style w:type="character" w:styleId="ac">
    <w:name w:val="FollowedHyperlink"/>
    <w:uiPriority w:val="99"/>
    <w:unhideWhenUsed/>
    <w:rsid w:val="0051203A"/>
    <w:rPr>
      <w:color w:val="800080"/>
      <w:u w:val="single"/>
    </w:rPr>
  </w:style>
  <w:style w:type="paragraph" w:customStyle="1" w:styleId="xl65">
    <w:name w:val="xl6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7">
    <w:name w:val="xl6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rsid w:val="00695F1D"/>
    <w:pP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7">
    <w:name w:val="xl7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9">
    <w:name w:val="xl7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2">
    <w:name w:val="xl8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4">
    <w:name w:val="xl8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">
    <w:name w:val="xl8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3">
    <w:name w:val="xl9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5">
    <w:name w:val="xl9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7">
    <w:name w:val="xl9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8">
    <w:name w:val="xl98"/>
    <w:basedOn w:val="a"/>
    <w:rsid w:val="00695F1D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69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69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0">
    <w:name w:val="xl110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2">
    <w:name w:val="xl112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3">
    <w:name w:val="xl113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14">
    <w:name w:val="xl11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8">
    <w:name w:val="xl11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\\192.168.1.3\depfinstorage\&#1055;&#1077;&#1081;&#1075;&#1072;&#1085;&#1086;&#1074;&#1080;&#1095;\&#1048;&#1079;&#1084;&#1077;&#1085;&#1077;&#1085;&#1080;&#1103;%20&#1073;&#1102;&#1076;&#1078;&#1077;&#1090;&#1072;%202025%20&#1075;&#1086;&#1076;&#1072;%20&#8470;113%20&#1086;&#1090;%2017.12.2024.%20&#1054;&#1090;&#1095;&#1077;&#1090;&#1099;%20&#1074;%20&#1057;&#1086;&#1074;&#1077;&#1090;%20&#1076;&#1077;&#1087;&#1091;&#1090;&#1072;&#1090;&#1086;&#1074;\&#1054;&#1090;&#1095;&#1077;&#1090;%20&#1079;&#1072;%20I%20&#1087;&#1086;&#1083;.2025\&#1054;&#1090;&#1095;&#1077;&#1090;_&#1076;&#1086;&#1093;&#1086;&#1076;&#1099;%20I%20&#1087;&#1086;&#1083;&#1091;&#1075;&#1086;&#1076;&#1080;&#1077;%202025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1.3\depfinstorage\&#1050;&#1086;&#1087;&#1080;&#1085;&#1072;\&#1041;&#1070;&#1044;&#1046;&#1045;&#1058;%202025%20&#1075;&#1086;&#1076;\&#1054;&#1090;&#1095;&#1077;&#1090;%20&#1079;&#1072;%20I%20&#1087;&#1086;&#1083;&#1091;&#1075;&#1086;&#1076;&#1080;&#1077;%202025%20&#1075;&#1086;&#1076;&#1072;\&#1044;&#1080;&#1072;&#1075;&#1088;&#1072;&#1084;&#1084;&#1099;%20&#1076;&#1083;&#1103;%20&#1086;&#1090;&#1095;&#1077;&#1090;&#1072;%20&#1079;&#1072;%201%20&#1082;&#1074;&#1072;&#1088;&#1090;&#1072;&#1083;%202025&#1075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1.3\depfinstorage\&#1055;&#1077;&#1081;&#1075;&#1072;&#1085;&#1086;&#1074;&#1080;&#1095;\&#1054;&#1090;&#1082;&#1088;&#1099;&#1090;&#1086;&#1089;&#1090;&#1100;%20&#1073;&#1102;&#1076;&#1078;&#1077;&#1090;&#1085;&#1099;&#1093;%20&#1076;&#1072;&#1085;&#1085;&#1099;&#1093;\2026\&#1048;&#1085;&#1092;&#1086;&#1075;&#1088;&#1072;&#1092;&#1080;&#1082;&#1072;\&#1054;&#1090;&#1095;&#1077;&#1090;_&#1076;&#1077;&#1092;&#1080;&#1094;&#1080;&#1090;%20&#1087;&#1086;&#1082;&#1074;&#1072;&#1088;&#1090;&#1072;&#1083;&#1100;&#1085;&#108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Исполнение плана </a:t>
            </a:r>
            <a:r>
              <a:rPr lang="en-US"/>
              <a:t>I</a:t>
            </a:r>
            <a:r>
              <a:rPr lang="ru-RU"/>
              <a:t> полугодия 2025 года</a:t>
            </a:r>
          </a:p>
          <a:p>
            <a:pPr>
              <a:defRPr/>
            </a:pPr>
            <a:r>
              <a:rPr lang="ru-RU"/>
              <a:t>Структура налоговых и неналоговых доходов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7.8310606252611117E-2"/>
          <c:y val="0"/>
          <c:w val="0.9216950658979014"/>
          <c:h val="0.752340908174796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'[Отчет_доходы I полугодие 2025.xlsx]Графика'!$C$2</c:f>
              <c:strCache>
                <c:ptCount val="1"/>
                <c:pt idx="0">
                  <c:v>План</c:v>
                </c:pt>
              </c:strCache>
            </c:strRef>
          </c:tx>
          <c:invertIfNegative val="0"/>
          <c:cat>
            <c:strRef>
              <c:f>'[Отчет_доходы I полугодие 2025.xlsx]Графика'!$B$3:$B$14</c:f>
              <c:strCache>
                <c:ptCount val="12"/>
                <c:pt idx="0">
                  <c:v>НДФЛ</c:v>
                </c:pt>
                <c:pt idx="1">
                  <c:v>Акцизы</c:v>
                </c:pt>
                <c:pt idx="2">
                  <c:v>Налоги на совокупный доход</c:v>
                </c:pt>
                <c:pt idx="3">
                  <c:v>НИФЛ</c:v>
                </c:pt>
                <c:pt idx="4">
                  <c:v>Земельный налог</c:v>
                </c:pt>
                <c:pt idx="5">
                  <c:v>Госпошлина</c:v>
                </c:pt>
                <c:pt idx="6">
                  <c:v>Доходы от использ. имущества</c:v>
                </c:pt>
                <c:pt idx="7">
                  <c:v>Негативное воздействие</c:v>
                </c:pt>
                <c:pt idx="8">
                  <c:v>Доходы от компенс. затрат государства</c:v>
                </c:pt>
                <c:pt idx="9">
                  <c:v>Доходы от продажи активов</c:v>
                </c:pt>
                <c:pt idx="10">
                  <c:v>Штрафы</c:v>
                </c:pt>
                <c:pt idx="11">
                  <c:v>Прочие</c:v>
                </c:pt>
              </c:strCache>
            </c:strRef>
          </c:cat>
          <c:val>
            <c:numRef>
              <c:f>'[Отчет_доходы I полугодие 2025.xlsx]Графика'!$C$3:$C$14</c:f>
              <c:numCache>
                <c:formatCode>#,##0.0</c:formatCode>
                <c:ptCount val="12"/>
                <c:pt idx="0">
                  <c:v>598232.4</c:v>
                </c:pt>
                <c:pt idx="1">
                  <c:v>13735.400000000001</c:v>
                </c:pt>
                <c:pt idx="2">
                  <c:v>80295.7</c:v>
                </c:pt>
                <c:pt idx="3">
                  <c:v>3871.1</c:v>
                </c:pt>
                <c:pt idx="4">
                  <c:v>42331.4</c:v>
                </c:pt>
                <c:pt idx="5">
                  <c:v>13768.1</c:v>
                </c:pt>
                <c:pt idx="6">
                  <c:v>45003.3</c:v>
                </c:pt>
                <c:pt idx="7">
                  <c:v>1065.9000000000001</c:v>
                </c:pt>
                <c:pt idx="8">
                  <c:v>29851.599999999999</c:v>
                </c:pt>
                <c:pt idx="9">
                  <c:v>12510.7</c:v>
                </c:pt>
                <c:pt idx="10">
                  <c:v>1751.8</c:v>
                </c:pt>
                <c:pt idx="11">
                  <c:v>1486.9</c:v>
                </c:pt>
              </c:numCache>
            </c:numRef>
          </c:val>
        </c:ser>
        <c:ser>
          <c:idx val="1"/>
          <c:order val="1"/>
          <c:tx>
            <c:strRef>
              <c:f>'[Отчет_доходы I полугодие 2025.xlsx]Графика'!$D$2</c:f>
              <c:strCache>
                <c:ptCount val="1"/>
                <c:pt idx="0">
                  <c:v>Факт</c:v>
                </c:pt>
              </c:strCache>
            </c:strRef>
          </c:tx>
          <c:invertIfNegative val="0"/>
          <c:cat>
            <c:strRef>
              <c:f>'[Отчет_доходы I полугодие 2025.xlsx]Графика'!$B$3:$B$14</c:f>
              <c:strCache>
                <c:ptCount val="12"/>
                <c:pt idx="0">
                  <c:v>НДФЛ</c:v>
                </c:pt>
                <c:pt idx="1">
                  <c:v>Акцизы</c:v>
                </c:pt>
                <c:pt idx="2">
                  <c:v>Налоги на совокупный доход</c:v>
                </c:pt>
                <c:pt idx="3">
                  <c:v>НИФЛ</c:v>
                </c:pt>
                <c:pt idx="4">
                  <c:v>Земельный налог</c:v>
                </c:pt>
                <c:pt idx="5">
                  <c:v>Госпошлина</c:v>
                </c:pt>
                <c:pt idx="6">
                  <c:v>Доходы от использ. имущества</c:v>
                </c:pt>
                <c:pt idx="7">
                  <c:v>Негативное воздействие</c:v>
                </c:pt>
                <c:pt idx="8">
                  <c:v>Доходы от компенс. затрат государства</c:v>
                </c:pt>
                <c:pt idx="9">
                  <c:v>Доходы от продажи активов</c:v>
                </c:pt>
                <c:pt idx="10">
                  <c:v>Штрафы</c:v>
                </c:pt>
                <c:pt idx="11">
                  <c:v>Прочие</c:v>
                </c:pt>
              </c:strCache>
            </c:strRef>
          </c:cat>
          <c:val>
            <c:numRef>
              <c:f>'[Отчет_доходы I полугодие 2025.xlsx]Графика'!$D$3:$D$14</c:f>
              <c:numCache>
                <c:formatCode>#,##0.0</c:formatCode>
                <c:ptCount val="12"/>
                <c:pt idx="0">
                  <c:v>679234</c:v>
                </c:pt>
                <c:pt idx="1">
                  <c:v>13603.9</c:v>
                </c:pt>
                <c:pt idx="2">
                  <c:v>78911.3</c:v>
                </c:pt>
                <c:pt idx="3">
                  <c:v>4232.3</c:v>
                </c:pt>
                <c:pt idx="4">
                  <c:v>45958</c:v>
                </c:pt>
                <c:pt idx="5">
                  <c:v>13721.8</c:v>
                </c:pt>
                <c:pt idx="6">
                  <c:v>48407.200000000004</c:v>
                </c:pt>
                <c:pt idx="7">
                  <c:v>422.6</c:v>
                </c:pt>
                <c:pt idx="8">
                  <c:v>30016.3</c:v>
                </c:pt>
                <c:pt idx="9">
                  <c:v>55441</c:v>
                </c:pt>
                <c:pt idx="10">
                  <c:v>2092.4</c:v>
                </c:pt>
                <c:pt idx="11">
                  <c:v>1489.2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4393280"/>
        <c:axId val="204391320"/>
      </c:barChart>
      <c:catAx>
        <c:axId val="2043932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04391320"/>
        <c:crosses val="autoZero"/>
        <c:auto val="1"/>
        <c:lblAlgn val="ctr"/>
        <c:lblOffset val="100"/>
        <c:noMultiLvlLbl val="0"/>
      </c:catAx>
      <c:valAx>
        <c:axId val="204391320"/>
        <c:scaling>
          <c:orientation val="minMax"/>
          <c:max val="700000"/>
          <c:min val="0"/>
        </c:scaling>
        <c:delete val="1"/>
        <c:axPos val="l"/>
        <c:majorGridlines/>
        <c:numFmt formatCode="#,##0.0" sourceLinked="1"/>
        <c:majorTickMark val="none"/>
        <c:minorTickMark val="none"/>
        <c:tickLblPos val="nextTo"/>
        <c:crossAx val="204393280"/>
        <c:crosses val="autoZero"/>
        <c:crossBetween val="between"/>
        <c:majorUnit val="140000"/>
        <c:minorUnit val="100000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 sz="800"/>
      </a:pPr>
      <a:endParaRPr lang="ru-RU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664761407836069"/>
          <c:y val="0.23903320295747346"/>
          <c:w val="0.70847250550759466"/>
          <c:h val="0.69839303175338385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Pt>
            <c:idx val="10"/>
            <c:bubble3D val="0"/>
          </c:dPt>
          <c:dLbls>
            <c:dLbl>
              <c:idx val="0"/>
              <c:layout>
                <c:manualLayout>
                  <c:x val="3.1145007972904486E-3"/>
                  <c:y val="-0.13398247415869355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Общегосударственные вопросы; </a:t>
                    </a:r>
                  </a:p>
                  <a:p>
                    <a:r>
                      <a:rPr lang="ru-RU" b="1"/>
                      <a:t>141 321,3 т.р.; </a:t>
                    </a:r>
                  </a:p>
                  <a:p>
                    <a:r>
                      <a:rPr lang="ru-RU" b="1"/>
                      <a:t>5,6%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7482045513541578"/>
                  <c:y val="-6.9571223505528634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Национальная безопасность и правоохранительная деятельность; </a:t>
                    </a:r>
                  </a:p>
                  <a:p>
                    <a:r>
                      <a:rPr lang="ru-RU" b="1"/>
                      <a:t>29 580,5 т.р.; </a:t>
                    </a:r>
                  </a:p>
                  <a:p>
                    <a:r>
                      <a:rPr lang="ru-RU" b="1"/>
                      <a:t>1,2%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10516487636847592"/>
                  <c:y val="3.3183781089148753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Национальная экономика; </a:t>
                    </a:r>
                  </a:p>
                  <a:p>
                    <a:r>
                      <a:rPr lang="ru-RU" b="1"/>
                      <a:t>314 613,1 т.р.; </a:t>
                    </a:r>
                  </a:p>
                  <a:p>
                    <a:r>
                      <a:rPr lang="ru-RU" b="1"/>
                      <a:t>12,4%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7.1216372678689892E-4"/>
                  <c:y val="5.1504591674324515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Жилищно-коммунальное хозяйство; </a:t>
                    </a:r>
                  </a:p>
                  <a:p>
                    <a:r>
                      <a:rPr lang="ru-RU" b="1"/>
                      <a:t>240 682,9 т.р.; </a:t>
                    </a:r>
                  </a:p>
                  <a:p>
                    <a:r>
                      <a:rPr lang="ru-RU" b="1"/>
                      <a:t>9,5%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0.11155606161974851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Охрана окружающей среды; </a:t>
                    </a:r>
                  </a:p>
                  <a:p>
                    <a:r>
                      <a:rPr lang="ru-RU" b="1"/>
                      <a:t>715,2 т.р.; </a:t>
                    </a:r>
                  </a:p>
                  <a:p>
                    <a:r>
                      <a:rPr lang="ru-RU" b="1"/>
                      <a:t>0,1%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9.6058542132782837E-2"/>
                  <c:y val="9.5103215072944256E-3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Образование; </a:t>
                    </a:r>
                  </a:p>
                  <a:p>
                    <a:r>
                      <a:rPr lang="ru-RU" b="1"/>
                      <a:t>1 456 225,5 т.р.; </a:t>
                    </a:r>
                  </a:p>
                  <a:p>
                    <a:r>
                      <a:rPr lang="ru-RU" b="1"/>
                      <a:t>57,6%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13506075476829132"/>
                  <c:y val="0.26702583229727866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Культура и кинематография; 160 512,6 т.р.;</a:t>
                    </a:r>
                  </a:p>
                  <a:p>
                    <a:r>
                      <a:rPr lang="ru-RU" b="1"/>
                      <a:t> 6,3%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24090994120240464"/>
                  <c:y val="0.16234286503660728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Социальная политика; </a:t>
                    </a:r>
                  </a:p>
                  <a:p>
                    <a:r>
                      <a:rPr lang="ru-RU" b="1"/>
                      <a:t>48 668,4 т.р.;</a:t>
                    </a:r>
                  </a:p>
                  <a:p>
                    <a:r>
                      <a:rPr lang="ru-RU" b="1"/>
                      <a:t> 1,9%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0.27344285261045664"/>
                  <c:y val="2.4459059322390193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Физическая культура и спорт; 129 036,1 т.р.; </a:t>
                    </a:r>
                  </a:p>
                  <a:p>
                    <a:r>
                      <a:rPr lang="ru-RU" b="1"/>
                      <a:t>5,1%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0.39186289119733525"/>
                  <c:y val="-0.174365918720944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Средства массовой информации;</a:t>
                    </a:r>
                  </a:p>
                  <a:p>
                    <a:r>
                      <a:rPr lang="ru-RU" b="1"/>
                      <a:t> 8 769,4 т.р.; </a:t>
                    </a:r>
                  </a:p>
                  <a:p>
                    <a:r>
                      <a:rPr lang="ru-RU" b="1"/>
                      <a:t>0,3%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9390268524126794E-2"/>
                  <c:y val="-5.8008732890082106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Обслуживание государственного и муниципального долга; </a:t>
                    </a:r>
                  </a:p>
                  <a:p>
                    <a:r>
                      <a:rPr lang="ru-RU" b="1"/>
                      <a:t>0,0 т.р.; </a:t>
                    </a:r>
                  </a:p>
                  <a:p>
                    <a:r>
                      <a:rPr lang="ru-RU" b="1"/>
                      <a:t>0,0%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0.17412109200635634"/>
                  <c:y val="-0.10536001348455297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'[Диаграммы для отчета за 1 квартал 2025г.xls]табл.Расходы'!$B$3:$B$13</c:f>
              <c:strCache>
                <c:ptCount val="11"/>
                <c:pt idx="0">
                  <c:v>Общегосударственные вопросы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Жилищно-коммунальное хозяйство</c:v>
                </c:pt>
                <c:pt idx="4">
                  <c:v>Охрана окружающей среды</c:v>
                </c:pt>
                <c:pt idx="5">
                  <c:v>Образование</c:v>
                </c:pt>
                <c:pt idx="6">
                  <c:v>Культура и кинематография </c:v>
                </c:pt>
                <c:pt idx="7">
                  <c:v>Социальная политика</c:v>
                </c:pt>
                <c:pt idx="8">
                  <c:v>Физическая культура и спорт</c:v>
                </c:pt>
                <c:pt idx="9">
                  <c:v>Средства массовой информации</c:v>
                </c:pt>
                <c:pt idx="10">
                  <c:v>Обслуживание государственного и муниципального долга</c:v>
                </c:pt>
              </c:strCache>
            </c:strRef>
          </c:cat>
          <c:val>
            <c:numRef>
              <c:f>'[Диаграммы для отчета за 1 квартал 2025г.xls]табл.Расходы'!$C$3:$C$13</c:f>
              <c:numCache>
                <c:formatCode>#,##0.0</c:formatCode>
                <c:ptCount val="11"/>
                <c:pt idx="0">
                  <c:v>141321.29999999999</c:v>
                </c:pt>
                <c:pt idx="1">
                  <c:v>29580.5</c:v>
                </c:pt>
                <c:pt idx="2">
                  <c:v>314613.09999999998</c:v>
                </c:pt>
                <c:pt idx="3">
                  <c:v>240682.9</c:v>
                </c:pt>
                <c:pt idx="4">
                  <c:v>715.2</c:v>
                </c:pt>
                <c:pt idx="5">
                  <c:v>1456225.5</c:v>
                </c:pt>
                <c:pt idx="6">
                  <c:v>160512.6</c:v>
                </c:pt>
                <c:pt idx="7">
                  <c:v>48668.4</c:v>
                </c:pt>
                <c:pt idx="8">
                  <c:v>129036.1</c:v>
                </c:pt>
                <c:pt idx="9">
                  <c:v>8769.4</c:v>
                </c:pt>
                <c:pt idx="1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996911879445917"/>
          <c:y val="2.761913653250701E-2"/>
          <c:w val="0.86003088120554083"/>
          <c:h val="0.75623020542042452"/>
        </c:manualLayout>
      </c:layout>
      <c:lineChart>
        <c:grouping val="standard"/>
        <c:varyColors val="0"/>
        <c:ser>
          <c:idx val="0"/>
          <c:order val="0"/>
          <c:tx>
            <c:strRef>
              <c:f>'[Отчет_дефицит поквартально.xlsx]2 кв. 2025'!$A$18</c:f>
              <c:strCache>
                <c:ptCount val="1"/>
                <c:pt idx="0">
                  <c:v>Дефицит</c:v>
                </c:pt>
              </c:strCache>
            </c:strRef>
          </c:tx>
          <c:spPr>
            <a:ln w="44450">
              <a:solidFill>
                <a:srgbClr val="C00000"/>
              </a:solidFill>
            </a:ln>
          </c:spPr>
          <c:marker>
            <c:symbol val="circle"/>
            <c:size val="8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cat>
            <c:strRef>
              <c:f>'[Отчет_дефицит поквартально.xlsx]2 кв. 2025'!$B$17:$G$17</c:f>
              <c:strCache>
                <c:ptCount val="6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</c:strCache>
            </c:strRef>
          </c:cat>
          <c:val>
            <c:numRef>
              <c:f>'[Отчет_дефицит поквартально.xlsx]2 кв. 2025'!$B$18:$G$18</c:f>
              <c:numCache>
                <c:formatCode>#\ ##0.0</c:formatCode>
                <c:ptCount val="6"/>
                <c:pt idx="0">
                  <c:v>-4814</c:v>
                </c:pt>
                <c:pt idx="1">
                  <c:v>-2871.9</c:v>
                </c:pt>
                <c:pt idx="2">
                  <c:v>79341.2</c:v>
                </c:pt>
                <c:pt idx="3">
                  <c:v>-29366</c:v>
                </c:pt>
                <c:pt idx="4">
                  <c:v>156239.29999999999</c:v>
                </c:pt>
                <c:pt idx="5">
                  <c:v>248651.4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3749464"/>
        <c:axId val="483748680"/>
      </c:lineChart>
      <c:catAx>
        <c:axId val="4837494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483748680"/>
        <c:crosses val="autoZero"/>
        <c:auto val="1"/>
        <c:lblAlgn val="ctr"/>
        <c:lblOffset val="100"/>
        <c:noMultiLvlLbl val="0"/>
      </c:catAx>
      <c:valAx>
        <c:axId val="483748680"/>
        <c:scaling>
          <c:orientation val="minMax"/>
          <c:max val="480000"/>
          <c:min val="-100000"/>
        </c:scaling>
        <c:delete val="0"/>
        <c:axPos val="l"/>
        <c:majorGridlines/>
        <c:numFmt formatCode="#\ ##0.0" sourceLinked="1"/>
        <c:majorTickMark val="none"/>
        <c:minorTickMark val="none"/>
        <c:tickLblPos val="nextTo"/>
        <c:crossAx val="483749464"/>
        <c:crosses val="autoZero"/>
        <c:crossBetween val="between"/>
        <c:majorUnit val="60000"/>
        <c:minorUnit val="20000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200"/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264054321976877"/>
          <c:y val="3.4846642758739763E-2"/>
          <c:w val="0.78735945678023123"/>
          <c:h val="0.788375280114815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'[Отчет_дефицит поквартально.xlsx]2 кв. 2025'!$B$7</c:f>
              <c:strCache>
                <c:ptCount val="1"/>
                <c:pt idx="0">
                  <c:v>Объем долга</c:v>
                </c:pt>
              </c:strCache>
            </c:strRef>
          </c:tx>
          <c:invertIfNegative val="0"/>
          <c:cat>
            <c:strRef>
              <c:f>'[Отчет_дефицит поквартально.xlsx]2 кв. 2025'!$C$6:$E$6</c:f>
              <c:strCache>
                <c:ptCount val="3"/>
                <c:pt idx="0">
                  <c:v>На 1.01.2025</c:v>
                </c:pt>
                <c:pt idx="1">
                  <c:v>На 1.04.2025</c:v>
                </c:pt>
                <c:pt idx="2">
                  <c:v>На 1.07.2025</c:v>
                </c:pt>
              </c:strCache>
            </c:strRef>
          </c:cat>
          <c:val>
            <c:numRef>
              <c:f>'[Отчет_дефицит поквартально.xlsx]2 кв. 2025'!$C$7:$E$7</c:f>
              <c:numCache>
                <c:formatCode>#,##0</c:formatCode>
                <c:ptCount val="3"/>
                <c:pt idx="0">
                  <c:v>62500</c:v>
                </c:pt>
                <c:pt idx="1">
                  <c:v>62500</c:v>
                </c:pt>
                <c:pt idx="2">
                  <c:v>62500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3749856"/>
        <c:axId val="483747112"/>
      </c:barChart>
      <c:catAx>
        <c:axId val="48374985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483747112"/>
        <c:crosses val="autoZero"/>
        <c:auto val="1"/>
        <c:lblAlgn val="ctr"/>
        <c:lblOffset val="100"/>
        <c:noMultiLvlLbl val="0"/>
      </c:catAx>
      <c:valAx>
        <c:axId val="483747112"/>
        <c:scaling>
          <c:orientation val="minMax"/>
          <c:max val="200000"/>
          <c:min val="0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crossAx val="483749856"/>
        <c:crosses val="autoZero"/>
        <c:crossBetween val="between"/>
        <c:majorUnit val="50000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0.15431</cdr:x>
      <cdr:y>0.0508</cdr:y>
    </cdr:from>
    <cdr:to>
      <cdr:x>0.24261</cdr:x>
      <cdr:y>0.11868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943702" y="145483"/>
          <a:ext cx="540041" cy="1943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900"/>
            <a:t>69,8</a:t>
          </a:r>
          <a:r>
            <a:rPr lang="en-US" sz="900"/>
            <a:t>%</a:t>
          </a:r>
          <a:endParaRPr lang="ru-RU" sz="900"/>
        </a:p>
      </cdr:txBody>
    </cdr:sp>
  </cdr:relSizeAnchor>
  <cdr:relSizeAnchor xmlns:cdr="http://schemas.openxmlformats.org/drawingml/2006/chartDrawing">
    <cdr:from>
      <cdr:x>0.16031</cdr:x>
      <cdr:y>0.59881</cdr:y>
    </cdr:from>
    <cdr:to>
      <cdr:x>0.23032</cdr:x>
      <cdr:y>0.68678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980405" y="1714901"/>
          <a:ext cx="428160" cy="2519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900"/>
            <a:t>1,4</a:t>
          </a:r>
          <a:r>
            <a:rPr lang="en-US" sz="900"/>
            <a:t>%</a:t>
          </a:r>
          <a:endParaRPr lang="ru-RU" sz="900"/>
        </a:p>
      </cdr:txBody>
    </cdr:sp>
  </cdr:relSizeAnchor>
  <cdr:relSizeAnchor xmlns:cdr="http://schemas.openxmlformats.org/drawingml/2006/chartDrawing">
    <cdr:from>
      <cdr:x>0.23903</cdr:x>
      <cdr:y>0.4964</cdr:y>
    </cdr:from>
    <cdr:to>
      <cdr:x>0.31234</cdr:x>
      <cdr:y>0.58436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461861" y="1421604"/>
          <a:ext cx="448341" cy="2519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900"/>
            <a:t>8,1</a:t>
          </a:r>
          <a:r>
            <a:rPr lang="en-US" sz="900"/>
            <a:t>%</a:t>
          </a:r>
          <a:endParaRPr lang="ru-RU" sz="900"/>
        </a:p>
      </cdr:txBody>
    </cdr:sp>
  </cdr:relSizeAnchor>
  <cdr:relSizeAnchor xmlns:cdr="http://schemas.openxmlformats.org/drawingml/2006/chartDrawing">
    <cdr:from>
      <cdr:x>0.38899</cdr:x>
      <cdr:y>0.58074</cdr:y>
    </cdr:from>
    <cdr:to>
      <cdr:x>0.47253</cdr:x>
      <cdr:y>0.67523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2378957" y="1663143"/>
          <a:ext cx="510892" cy="2706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900"/>
            <a:t> 4,7</a:t>
          </a:r>
          <a:r>
            <a:rPr lang="en-US" sz="900"/>
            <a:t>%</a:t>
          </a:r>
          <a:endParaRPr lang="ru-RU" sz="900"/>
        </a:p>
      </cdr:txBody>
    </cdr:sp>
  </cdr:relSizeAnchor>
  <cdr:relSizeAnchor xmlns:cdr="http://schemas.openxmlformats.org/drawingml/2006/chartDrawing">
    <cdr:from>
      <cdr:x>0.46682</cdr:x>
      <cdr:y>0.58768</cdr:y>
    </cdr:from>
    <cdr:to>
      <cdr:x>0.55011</cdr:x>
      <cdr:y>0.68376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2854931" y="1683026"/>
          <a:ext cx="509371" cy="27517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900"/>
            <a:t>1,4</a:t>
          </a:r>
          <a:r>
            <a:rPr lang="en-US" sz="900"/>
            <a:t>%</a:t>
          </a:r>
          <a:endParaRPr lang="ru-RU" sz="900"/>
        </a:p>
      </cdr:txBody>
    </cdr:sp>
  </cdr:relSizeAnchor>
  <cdr:relSizeAnchor xmlns:cdr="http://schemas.openxmlformats.org/drawingml/2006/chartDrawing">
    <cdr:from>
      <cdr:x>0.54038</cdr:x>
      <cdr:y>0.57262</cdr:y>
    </cdr:from>
    <cdr:to>
      <cdr:x>0.61782</cdr:x>
      <cdr:y>0.6687</cdr:y>
    </cdr:to>
    <cdr:sp macro="" textlink="">
      <cdr:nvSpPr>
        <cdr:cNvPr id="8" name="TextBox 1"/>
        <cdr:cNvSpPr txBox="1"/>
      </cdr:nvSpPr>
      <cdr:spPr>
        <a:xfrm xmlns:a="http://schemas.openxmlformats.org/drawingml/2006/main">
          <a:off x="3304794" y="1639892"/>
          <a:ext cx="473576" cy="27517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900"/>
            <a:t> 5,0%</a:t>
          </a:r>
        </a:p>
      </cdr:txBody>
    </cdr:sp>
  </cdr:relSizeAnchor>
  <cdr:relSizeAnchor xmlns:cdr="http://schemas.openxmlformats.org/drawingml/2006/chartDrawing">
    <cdr:from>
      <cdr:x>0.84819</cdr:x>
      <cdr:y>0.61988</cdr:y>
    </cdr:from>
    <cdr:to>
      <cdr:x>0.92108</cdr:x>
      <cdr:y>0.70734</cdr:y>
    </cdr:to>
    <cdr:sp macro="" textlink="">
      <cdr:nvSpPr>
        <cdr:cNvPr id="11" name="TextBox 1"/>
        <cdr:cNvSpPr txBox="1"/>
      </cdr:nvSpPr>
      <cdr:spPr>
        <a:xfrm xmlns:a="http://schemas.openxmlformats.org/drawingml/2006/main">
          <a:off x="5187263" y="1775243"/>
          <a:ext cx="445786" cy="25047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900"/>
            <a:t>0,2</a:t>
          </a:r>
          <a:r>
            <a:rPr lang="en-US" sz="900"/>
            <a:t>%</a:t>
          </a:r>
          <a:endParaRPr lang="ru-RU" sz="900"/>
        </a:p>
      </cdr:txBody>
    </cdr:sp>
  </cdr:relSizeAnchor>
  <cdr:relSizeAnchor xmlns:cdr="http://schemas.openxmlformats.org/drawingml/2006/chartDrawing">
    <cdr:from>
      <cdr:x>0.92875</cdr:x>
      <cdr:y>0.61946</cdr:y>
    </cdr:from>
    <cdr:to>
      <cdr:x>1</cdr:x>
      <cdr:y>0.70691</cdr:y>
    </cdr:to>
    <cdr:sp macro="" textlink="">
      <cdr:nvSpPr>
        <cdr:cNvPr id="12" name="TextBox 1"/>
        <cdr:cNvSpPr txBox="1"/>
      </cdr:nvSpPr>
      <cdr:spPr>
        <a:xfrm xmlns:a="http://schemas.openxmlformats.org/drawingml/2006/main">
          <a:off x="5680371" y="1774041"/>
          <a:ext cx="435757" cy="2504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900"/>
            <a:t>0,2</a:t>
          </a:r>
          <a:r>
            <a:rPr lang="en-US" sz="900"/>
            <a:t>%</a:t>
          </a:r>
          <a:endParaRPr lang="ru-RU" sz="900"/>
        </a:p>
      </cdr:txBody>
    </cdr:sp>
  </cdr:relSizeAnchor>
  <cdr:relSizeAnchor xmlns:cdr="http://schemas.openxmlformats.org/drawingml/2006/chartDrawing">
    <cdr:from>
      <cdr:x>0.3083</cdr:x>
      <cdr:y>0.58676</cdr:y>
    </cdr:from>
    <cdr:to>
      <cdr:x>0.38543</cdr:x>
      <cdr:y>0.67171</cdr:y>
    </cdr:to>
    <cdr:sp macro="" textlink="">
      <cdr:nvSpPr>
        <cdr:cNvPr id="13" name="TextBox 1"/>
        <cdr:cNvSpPr txBox="1"/>
      </cdr:nvSpPr>
      <cdr:spPr>
        <a:xfrm xmlns:a="http://schemas.openxmlformats.org/drawingml/2006/main">
          <a:off x="1885482" y="1680397"/>
          <a:ext cx="471703" cy="2432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900"/>
            <a:t> 0,4 </a:t>
          </a:r>
          <a:r>
            <a:rPr lang="en-US" sz="900"/>
            <a:t>%</a:t>
          </a:r>
          <a:endParaRPr lang="ru-RU" sz="900"/>
        </a:p>
      </cdr:txBody>
    </cdr:sp>
  </cdr:relSizeAnchor>
  <cdr:relSizeAnchor xmlns:cdr="http://schemas.openxmlformats.org/drawingml/2006/chartDrawing">
    <cdr:from>
      <cdr:x>0.69542</cdr:x>
      <cdr:y>0.60761</cdr:y>
    </cdr:from>
    <cdr:to>
      <cdr:x>0.77321</cdr:x>
      <cdr:y>0.67454</cdr:y>
    </cdr:to>
    <cdr:sp macro="" textlink="">
      <cdr:nvSpPr>
        <cdr:cNvPr id="14" name="TextBox 1"/>
        <cdr:cNvSpPr txBox="1"/>
      </cdr:nvSpPr>
      <cdr:spPr>
        <a:xfrm xmlns:a="http://schemas.openxmlformats.org/drawingml/2006/main">
          <a:off x="4252970" y="1740098"/>
          <a:ext cx="475739" cy="1916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900"/>
            <a:t>3,1</a:t>
          </a:r>
          <a:r>
            <a:rPr lang="en-US" sz="900"/>
            <a:t>%</a:t>
          </a:r>
          <a:endParaRPr lang="ru-RU" sz="900"/>
        </a:p>
      </cdr:txBody>
    </cdr:sp>
  </cdr:relSizeAnchor>
  <cdr:relSizeAnchor xmlns:cdr="http://schemas.openxmlformats.org/drawingml/2006/chartDrawing">
    <cdr:from>
      <cdr:x>0.77101</cdr:x>
      <cdr:y>0.56525</cdr:y>
    </cdr:from>
    <cdr:to>
      <cdr:x>0.85338</cdr:x>
      <cdr:y>0.65364</cdr:y>
    </cdr:to>
    <cdr:sp macro="" textlink="">
      <cdr:nvSpPr>
        <cdr:cNvPr id="15" name="TextBox 1"/>
        <cdr:cNvSpPr txBox="1"/>
      </cdr:nvSpPr>
      <cdr:spPr>
        <a:xfrm xmlns:a="http://schemas.openxmlformats.org/drawingml/2006/main">
          <a:off x="4715251" y="1618799"/>
          <a:ext cx="503731" cy="2531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900"/>
            <a:t> 5,7</a:t>
          </a:r>
          <a:r>
            <a:rPr lang="en-US" sz="900"/>
            <a:t>%</a:t>
          </a:r>
          <a:endParaRPr lang="ru-RU" sz="9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6FCB2-EECB-48E0-896A-0BE5B7E04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292</CharactersWithSpaces>
  <SharedDoc>false</SharedDoc>
  <HLinks>
    <vt:vector size="6" baseType="variant">
      <vt:variant>
        <vt:i4>2687081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consultantplus://offline/ref=48F3E138D1DB00C2710F5EEEA4EB6940D3899AC38574CC6E04A1DE1D85A332D7C27BD565B11EW7x8G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Кузнецова  Оксана Юрьевна</cp:lastModifiedBy>
  <cp:revision>16</cp:revision>
  <cp:lastPrinted>2018-10-15T06:38:00Z</cp:lastPrinted>
  <dcterms:created xsi:type="dcterms:W3CDTF">2022-03-21T06:49:00Z</dcterms:created>
  <dcterms:modified xsi:type="dcterms:W3CDTF">2026-03-27T12:45:00Z</dcterms:modified>
</cp:coreProperties>
</file>