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725" w:rsidRDefault="00ED7725" w:rsidP="00ED7725">
      <w:pPr>
        <w:jc w:val="center"/>
        <w:rPr>
          <w:b/>
          <w:bCs/>
          <w:sz w:val="28"/>
          <w:szCs w:val="28"/>
        </w:rPr>
      </w:pPr>
      <w:r w:rsidRPr="00ED7725">
        <w:rPr>
          <w:b/>
          <w:bCs/>
          <w:sz w:val="28"/>
          <w:szCs w:val="28"/>
        </w:rPr>
        <w:t xml:space="preserve">Исполнение плана </w:t>
      </w:r>
      <w:r w:rsidRPr="00ED7725">
        <w:rPr>
          <w:b/>
          <w:bCs/>
          <w:sz w:val="28"/>
          <w:szCs w:val="28"/>
          <w:lang w:val="en-US"/>
        </w:rPr>
        <w:t>I</w:t>
      </w:r>
      <w:r w:rsidRPr="00ED7725">
        <w:rPr>
          <w:b/>
          <w:bCs/>
          <w:sz w:val="28"/>
          <w:szCs w:val="28"/>
        </w:rPr>
        <w:t xml:space="preserve"> квартала 202</w:t>
      </w:r>
      <w:r w:rsidR="000765A0">
        <w:rPr>
          <w:b/>
          <w:bCs/>
          <w:sz w:val="28"/>
          <w:szCs w:val="28"/>
        </w:rPr>
        <w:t>5</w:t>
      </w:r>
      <w:r w:rsidRPr="00ED7725">
        <w:rPr>
          <w:b/>
          <w:bCs/>
          <w:sz w:val="28"/>
          <w:szCs w:val="28"/>
        </w:rPr>
        <w:t xml:space="preserve"> года</w:t>
      </w:r>
    </w:p>
    <w:p w:rsidR="00ED7725" w:rsidRPr="00ED7725" w:rsidRDefault="00ED7725" w:rsidP="00ED772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налоговым и неналоговым доходам</w:t>
      </w:r>
      <w:r w:rsidRPr="00ED7725">
        <w:rPr>
          <w:b/>
          <w:bCs/>
          <w:sz w:val="28"/>
          <w:szCs w:val="28"/>
        </w:rPr>
        <w:t>.</w:t>
      </w:r>
    </w:p>
    <w:p w:rsidR="00ED7725" w:rsidRDefault="00ED7725" w:rsidP="00ED7725">
      <w:pPr>
        <w:jc w:val="center"/>
        <w:rPr>
          <w:b/>
          <w:bCs/>
          <w:sz w:val="28"/>
          <w:szCs w:val="28"/>
        </w:rPr>
      </w:pPr>
      <w:r w:rsidRPr="00ED7725">
        <w:rPr>
          <w:b/>
          <w:bCs/>
          <w:sz w:val="28"/>
          <w:szCs w:val="28"/>
        </w:rPr>
        <w:t>Структура налоговых и неналоговых доходов</w:t>
      </w:r>
    </w:p>
    <w:p w:rsidR="00C13C33" w:rsidRPr="00ED7725" w:rsidRDefault="00C13C33" w:rsidP="00ED7725">
      <w:pPr>
        <w:jc w:val="center"/>
        <w:rPr>
          <w:b/>
          <w:sz w:val="28"/>
          <w:szCs w:val="28"/>
        </w:rPr>
      </w:pPr>
    </w:p>
    <w:p w:rsidR="00145429" w:rsidRDefault="000765A0" w:rsidP="009018C6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04FD2C7" wp14:editId="6155DC35">
            <wp:extent cx="6193766" cy="3398807"/>
            <wp:effectExtent l="0" t="0" r="17145" b="1143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07D3B" w:rsidRDefault="00507D3B" w:rsidP="00ED7725">
      <w:pPr>
        <w:jc w:val="center"/>
        <w:rPr>
          <w:b/>
          <w:sz w:val="28"/>
          <w:szCs w:val="28"/>
        </w:rPr>
      </w:pPr>
    </w:p>
    <w:p w:rsidR="00ED7725" w:rsidRDefault="00ED7725" w:rsidP="00BC17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расходов на 1.04.202</w:t>
      </w:r>
      <w:r w:rsidR="000765A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</w:t>
      </w:r>
    </w:p>
    <w:p w:rsidR="00C13C33" w:rsidRDefault="00C13C33" w:rsidP="00BC17E8">
      <w:pPr>
        <w:jc w:val="center"/>
        <w:rPr>
          <w:b/>
          <w:sz w:val="28"/>
          <w:szCs w:val="28"/>
        </w:rPr>
      </w:pPr>
    </w:p>
    <w:p w:rsidR="00BC17E8" w:rsidRPr="00787841" w:rsidRDefault="000765A0" w:rsidP="00BC17E8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F7E7426" wp14:editId="313AD76F">
            <wp:extent cx="6084000" cy="3912042"/>
            <wp:effectExtent l="0" t="0" r="12065" b="1270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D7725" w:rsidRDefault="00ED7725" w:rsidP="00ED7725">
      <w:pPr>
        <w:jc w:val="right"/>
        <w:rPr>
          <w:b/>
          <w:sz w:val="28"/>
          <w:szCs w:val="28"/>
        </w:rPr>
      </w:pPr>
    </w:p>
    <w:p w:rsidR="00ED7725" w:rsidRDefault="00ED7725" w:rsidP="00D43E60">
      <w:pPr>
        <w:jc w:val="center"/>
        <w:rPr>
          <w:b/>
          <w:color w:val="000000"/>
          <w:sz w:val="28"/>
          <w:szCs w:val="28"/>
        </w:rPr>
      </w:pPr>
    </w:p>
    <w:p w:rsidR="00ED7725" w:rsidRDefault="00ED7725" w:rsidP="00D43E60">
      <w:pPr>
        <w:jc w:val="center"/>
        <w:rPr>
          <w:b/>
          <w:color w:val="000000"/>
          <w:sz w:val="28"/>
          <w:szCs w:val="28"/>
        </w:rPr>
      </w:pPr>
    </w:p>
    <w:p w:rsidR="00D43E60" w:rsidRDefault="00D43E60" w:rsidP="00D43E60">
      <w:pPr>
        <w:jc w:val="center"/>
        <w:rPr>
          <w:b/>
          <w:color w:val="000000"/>
          <w:sz w:val="28"/>
          <w:szCs w:val="28"/>
        </w:rPr>
      </w:pPr>
      <w:r w:rsidRPr="00D43E60">
        <w:rPr>
          <w:b/>
          <w:color w:val="000000"/>
          <w:sz w:val="28"/>
          <w:szCs w:val="28"/>
        </w:rPr>
        <w:t xml:space="preserve">Изменение </w:t>
      </w:r>
      <w:r w:rsidR="00CD672F">
        <w:rPr>
          <w:b/>
          <w:color w:val="000000"/>
          <w:sz w:val="28"/>
          <w:szCs w:val="28"/>
        </w:rPr>
        <w:t>де</w:t>
      </w:r>
      <w:r w:rsidRPr="00D43E60">
        <w:rPr>
          <w:b/>
          <w:color w:val="000000"/>
          <w:sz w:val="28"/>
          <w:szCs w:val="28"/>
        </w:rPr>
        <w:t>фицита за I квартал 20</w:t>
      </w:r>
      <w:r w:rsidR="003D427B">
        <w:rPr>
          <w:b/>
          <w:color w:val="000000"/>
          <w:sz w:val="28"/>
          <w:szCs w:val="28"/>
        </w:rPr>
        <w:t>2</w:t>
      </w:r>
      <w:r w:rsidR="00943E68">
        <w:rPr>
          <w:b/>
          <w:color w:val="000000"/>
          <w:sz w:val="28"/>
          <w:szCs w:val="28"/>
        </w:rPr>
        <w:t>5</w:t>
      </w:r>
      <w:r w:rsidRPr="00D43E60">
        <w:rPr>
          <w:b/>
          <w:color w:val="000000"/>
          <w:sz w:val="28"/>
          <w:szCs w:val="28"/>
        </w:rPr>
        <w:t xml:space="preserve"> года, тыс. рублей</w:t>
      </w:r>
    </w:p>
    <w:p w:rsidR="009018C6" w:rsidRPr="00D43E60" w:rsidRDefault="009018C6" w:rsidP="00D43E60">
      <w:pPr>
        <w:jc w:val="center"/>
        <w:rPr>
          <w:b/>
          <w:color w:val="000000"/>
          <w:sz w:val="28"/>
          <w:szCs w:val="28"/>
        </w:rPr>
      </w:pPr>
    </w:p>
    <w:p w:rsidR="00EB617D" w:rsidRDefault="003B16EA" w:rsidP="00377471">
      <w:pPr>
        <w:jc w:val="right"/>
        <w:rPr>
          <w:b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41905864" wp14:editId="3E3F39A2">
            <wp:extent cx="6480175" cy="3600450"/>
            <wp:effectExtent l="0" t="0" r="1587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End w:id="0"/>
    </w:p>
    <w:p w:rsidR="00EB617D" w:rsidRDefault="00EB617D" w:rsidP="00377471">
      <w:pPr>
        <w:jc w:val="right"/>
        <w:rPr>
          <w:b/>
          <w:sz w:val="28"/>
          <w:szCs w:val="28"/>
        </w:rPr>
      </w:pPr>
    </w:p>
    <w:p w:rsidR="00D43E60" w:rsidRDefault="00D43E60" w:rsidP="00377471">
      <w:pPr>
        <w:jc w:val="right"/>
        <w:rPr>
          <w:b/>
          <w:sz w:val="28"/>
          <w:szCs w:val="28"/>
        </w:rPr>
      </w:pPr>
    </w:p>
    <w:p w:rsidR="00D43E60" w:rsidRDefault="00D43E60" w:rsidP="00D43E6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Объем муниципального долга</w:t>
      </w:r>
      <w:r w:rsidRPr="00D43E60">
        <w:rPr>
          <w:b/>
          <w:color w:val="000000"/>
          <w:sz w:val="28"/>
          <w:szCs w:val="28"/>
        </w:rPr>
        <w:t xml:space="preserve"> за I квартал 20</w:t>
      </w:r>
      <w:r w:rsidR="003D427B">
        <w:rPr>
          <w:b/>
          <w:color w:val="000000"/>
          <w:sz w:val="28"/>
          <w:szCs w:val="28"/>
        </w:rPr>
        <w:t>2</w:t>
      </w:r>
      <w:r w:rsidR="003B16EA">
        <w:rPr>
          <w:b/>
          <w:color w:val="000000"/>
          <w:sz w:val="28"/>
          <w:szCs w:val="28"/>
        </w:rPr>
        <w:t>5</w:t>
      </w:r>
      <w:r w:rsidRPr="00D43E60">
        <w:rPr>
          <w:b/>
          <w:color w:val="000000"/>
          <w:sz w:val="28"/>
          <w:szCs w:val="28"/>
        </w:rPr>
        <w:t xml:space="preserve"> года, тыс. рублей</w:t>
      </w:r>
    </w:p>
    <w:p w:rsidR="00093810" w:rsidRPr="00D43E60" w:rsidRDefault="00093810" w:rsidP="00D43E60">
      <w:pPr>
        <w:jc w:val="center"/>
        <w:rPr>
          <w:b/>
          <w:color w:val="000000"/>
          <w:sz w:val="28"/>
          <w:szCs w:val="28"/>
        </w:rPr>
      </w:pPr>
    </w:p>
    <w:p w:rsidR="00D43E60" w:rsidRDefault="003B16EA" w:rsidP="0073718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25A1640" wp14:editId="082DE29E">
            <wp:extent cx="6505575" cy="36099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D43E60" w:rsidSect="00FD1BB7">
      <w:headerReference w:type="first" r:id="rId12"/>
      <w:pgSz w:w="11906" w:h="16838" w:code="9"/>
      <w:pgMar w:top="1134" w:right="56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21A" w:rsidRDefault="00F8521A" w:rsidP="00C00757">
      <w:r>
        <w:separator/>
      </w:r>
    </w:p>
  </w:endnote>
  <w:endnote w:type="continuationSeparator" w:id="0">
    <w:p w:rsidR="00F8521A" w:rsidRDefault="00F8521A" w:rsidP="00C00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21A" w:rsidRDefault="00F8521A" w:rsidP="00C00757">
      <w:r>
        <w:separator/>
      </w:r>
    </w:p>
  </w:footnote>
  <w:footnote w:type="continuationSeparator" w:id="0">
    <w:p w:rsidR="00F8521A" w:rsidRDefault="00F8521A" w:rsidP="00C00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CA3" w:rsidRDefault="005F6CA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33304D"/>
    <w:multiLevelType w:val="hybridMultilevel"/>
    <w:tmpl w:val="6E4A87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6B7"/>
    <w:rsid w:val="00001C30"/>
    <w:rsid w:val="00005C48"/>
    <w:rsid w:val="00011B19"/>
    <w:rsid w:val="00023BBA"/>
    <w:rsid w:val="00035507"/>
    <w:rsid w:val="00042313"/>
    <w:rsid w:val="00047254"/>
    <w:rsid w:val="000508FE"/>
    <w:rsid w:val="00051B28"/>
    <w:rsid w:val="000575E6"/>
    <w:rsid w:val="00067344"/>
    <w:rsid w:val="00074C6D"/>
    <w:rsid w:val="00075D40"/>
    <w:rsid w:val="000765A0"/>
    <w:rsid w:val="00093810"/>
    <w:rsid w:val="000A0FA8"/>
    <w:rsid w:val="000A58F7"/>
    <w:rsid w:val="000B0D0C"/>
    <w:rsid w:val="000C495C"/>
    <w:rsid w:val="000C75FC"/>
    <w:rsid w:val="000D03FB"/>
    <w:rsid w:val="000E0112"/>
    <w:rsid w:val="000E0407"/>
    <w:rsid w:val="000E441F"/>
    <w:rsid w:val="000F40DF"/>
    <w:rsid w:val="000F5C21"/>
    <w:rsid w:val="00101B2A"/>
    <w:rsid w:val="00110FFB"/>
    <w:rsid w:val="0011161B"/>
    <w:rsid w:val="0011302C"/>
    <w:rsid w:val="00123D20"/>
    <w:rsid w:val="00137AAC"/>
    <w:rsid w:val="0014027E"/>
    <w:rsid w:val="0014313E"/>
    <w:rsid w:val="00144524"/>
    <w:rsid w:val="00144D30"/>
    <w:rsid w:val="00145429"/>
    <w:rsid w:val="00153454"/>
    <w:rsid w:val="001545E3"/>
    <w:rsid w:val="001605D0"/>
    <w:rsid w:val="001653E2"/>
    <w:rsid w:val="001658CD"/>
    <w:rsid w:val="00165F18"/>
    <w:rsid w:val="00174F5D"/>
    <w:rsid w:val="001763B7"/>
    <w:rsid w:val="00177554"/>
    <w:rsid w:val="00181B21"/>
    <w:rsid w:val="001864FB"/>
    <w:rsid w:val="001A6026"/>
    <w:rsid w:val="001B7161"/>
    <w:rsid w:val="001C2FE3"/>
    <w:rsid w:val="001C7C51"/>
    <w:rsid w:val="001D4CF8"/>
    <w:rsid w:val="001D566E"/>
    <w:rsid w:val="001E356E"/>
    <w:rsid w:val="001F3884"/>
    <w:rsid w:val="001F3C10"/>
    <w:rsid w:val="001F7BE5"/>
    <w:rsid w:val="002034E6"/>
    <w:rsid w:val="002076D9"/>
    <w:rsid w:val="00211B22"/>
    <w:rsid w:val="00211F24"/>
    <w:rsid w:val="00216A20"/>
    <w:rsid w:val="00221AF4"/>
    <w:rsid w:val="00225CA0"/>
    <w:rsid w:val="00231F0F"/>
    <w:rsid w:val="002434E3"/>
    <w:rsid w:val="00245AAC"/>
    <w:rsid w:val="00253969"/>
    <w:rsid w:val="00255339"/>
    <w:rsid w:val="002610A7"/>
    <w:rsid w:val="00265793"/>
    <w:rsid w:val="00274D7A"/>
    <w:rsid w:val="0028644A"/>
    <w:rsid w:val="00296E24"/>
    <w:rsid w:val="002A3FF8"/>
    <w:rsid w:val="002B0C41"/>
    <w:rsid w:val="002B47F1"/>
    <w:rsid w:val="002E42EE"/>
    <w:rsid w:val="002F0724"/>
    <w:rsid w:val="002F35B2"/>
    <w:rsid w:val="0031108D"/>
    <w:rsid w:val="003113D6"/>
    <w:rsid w:val="003129DC"/>
    <w:rsid w:val="0032100A"/>
    <w:rsid w:val="00327686"/>
    <w:rsid w:val="003302FA"/>
    <w:rsid w:val="003318C0"/>
    <w:rsid w:val="0033249A"/>
    <w:rsid w:val="00337BF3"/>
    <w:rsid w:val="00340EC1"/>
    <w:rsid w:val="003419BA"/>
    <w:rsid w:val="00344A7F"/>
    <w:rsid w:val="003520FD"/>
    <w:rsid w:val="00354C01"/>
    <w:rsid w:val="00356E4F"/>
    <w:rsid w:val="0035765F"/>
    <w:rsid w:val="003645CA"/>
    <w:rsid w:val="003660BE"/>
    <w:rsid w:val="003665B6"/>
    <w:rsid w:val="003721EE"/>
    <w:rsid w:val="00377471"/>
    <w:rsid w:val="00381B87"/>
    <w:rsid w:val="00396450"/>
    <w:rsid w:val="003A479A"/>
    <w:rsid w:val="003B0A50"/>
    <w:rsid w:val="003B16EA"/>
    <w:rsid w:val="003B2E8D"/>
    <w:rsid w:val="003B2F97"/>
    <w:rsid w:val="003B36AB"/>
    <w:rsid w:val="003B4778"/>
    <w:rsid w:val="003B6D54"/>
    <w:rsid w:val="003B77AF"/>
    <w:rsid w:val="003C1BA1"/>
    <w:rsid w:val="003D427B"/>
    <w:rsid w:val="003F0654"/>
    <w:rsid w:val="003F2130"/>
    <w:rsid w:val="003F4913"/>
    <w:rsid w:val="004034E9"/>
    <w:rsid w:val="004122F5"/>
    <w:rsid w:val="004149CC"/>
    <w:rsid w:val="00420A94"/>
    <w:rsid w:val="004266AF"/>
    <w:rsid w:val="00427BB0"/>
    <w:rsid w:val="004320CC"/>
    <w:rsid w:val="00433795"/>
    <w:rsid w:val="00444E90"/>
    <w:rsid w:val="0045641C"/>
    <w:rsid w:val="004610F0"/>
    <w:rsid w:val="00472E6F"/>
    <w:rsid w:val="00480497"/>
    <w:rsid w:val="00481A82"/>
    <w:rsid w:val="00485507"/>
    <w:rsid w:val="00495525"/>
    <w:rsid w:val="004A0E4A"/>
    <w:rsid w:val="004B3745"/>
    <w:rsid w:val="004C3479"/>
    <w:rsid w:val="004D1941"/>
    <w:rsid w:val="004D413E"/>
    <w:rsid w:val="004D4BF6"/>
    <w:rsid w:val="004E381D"/>
    <w:rsid w:val="004F4567"/>
    <w:rsid w:val="00506963"/>
    <w:rsid w:val="0050752D"/>
    <w:rsid w:val="00507A62"/>
    <w:rsid w:val="00507D3B"/>
    <w:rsid w:val="0051203A"/>
    <w:rsid w:val="005132EB"/>
    <w:rsid w:val="00543189"/>
    <w:rsid w:val="00561917"/>
    <w:rsid w:val="005671F3"/>
    <w:rsid w:val="005767CE"/>
    <w:rsid w:val="00577E7F"/>
    <w:rsid w:val="00582718"/>
    <w:rsid w:val="005833CD"/>
    <w:rsid w:val="00591A06"/>
    <w:rsid w:val="00595F75"/>
    <w:rsid w:val="005A00B0"/>
    <w:rsid w:val="005C0542"/>
    <w:rsid w:val="005C3330"/>
    <w:rsid w:val="005C4194"/>
    <w:rsid w:val="005C48DF"/>
    <w:rsid w:val="005D4AE3"/>
    <w:rsid w:val="005D66B1"/>
    <w:rsid w:val="005D78BC"/>
    <w:rsid w:val="005E1A93"/>
    <w:rsid w:val="005E3402"/>
    <w:rsid w:val="005E48BB"/>
    <w:rsid w:val="005E73C2"/>
    <w:rsid w:val="005E73C9"/>
    <w:rsid w:val="005F2402"/>
    <w:rsid w:val="005F6CA3"/>
    <w:rsid w:val="005F7BA1"/>
    <w:rsid w:val="00601193"/>
    <w:rsid w:val="006057FE"/>
    <w:rsid w:val="00610712"/>
    <w:rsid w:val="006108D5"/>
    <w:rsid w:val="00613C3D"/>
    <w:rsid w:val="006157A3"/>
    <w:rsid w:val="00647841"/>
    <w:rsid w:val="00653939"/>
    <w:rsid w:val="00653ADB"/>
    <w:rsid w:val="00680B30"/>
    <w:rsid w:val="00686639"/>
    <w:rsid w:val="00695F1D"/>
    <w:rsid w:val="006A5C91"/>
    <w:rsid w:val="006A757B"/>
    <w:rsid w:val="006B26C8"/>
    <w:rsid w:val="006B6F03"/>
    <w:rsid w:val="006B7837"/>
    <w:rsid w:val="006D1583"/>
    <w:rsid w:val="006E5D6C"/>
    <w:rsid w:val="006E7437"/>
    <w:rsid w:val="006F03FC"/>
    <w:rsid w:val="006F5888"/>
    <w:rsid w:val="00701D30"/>
    <w:rsid w:val="00705108"/>
    <w:rsid w:val="00707995"/>
    <w:rsid w:val="00711BA9"/>
    <w:rsid w:val="00713293"/>
    <w:rsid w:val="00713EFE"/>
    <w:rsid w:val="00721453"/>
    <w:rsid w:val="00731455"/>
    <w:rsid w:val="00731CAD"/>
    <w:rsid w:val="007353EA"/>
    <w:rsid w:val="00735909"/>
    <w:rsid w:val="00737180"/>
    <w:rsid w:val="007426BC"/>
    <w:rsid w:val="007432F9"/>
    <w:rsid w:val="00747CCC"/>
    <w:rsid w:val="00747DEC"/>
    <w:rsid w:val="007549C4"/>
    <w:rsid w:val="007563FE"/>
    <w:rsid w:val="007607FA"/>
    <w:rsid w:val="007745CB"/>
    <w:rsid w:val="00787841"/>
    <w:rsid w:val="007928B5"/>
    <w:rsid w:val="0079338E"/>
    <w:rsid w:val="0079357E"/>
    <w:rsid w:val="0079361B"/>
    <w:rsid w:val="00793EDE"/>
    <w:rsid w:val="00796E8B"/>
    <w:rsid w:val="007A1250"/>
    <w:rsid w:val="007A1653"/>
    <w:rsid w:val="007B4BB2"/>
    <w:rsid w:val="007E3F50"/>
    <w:rsid w:val="007F1135"/>
    <w:rsid w:val="007F3FC1"/>
    <w:rsid w:val="007F558B"/>
    <w:rsid w:val="007F5CB2"/>
    <w:rsid w:val="00803288"/>
    <w:rsid w:val="00807607"/>
    <w:rsid w:val="00812618"/>
    <w:rsid w:val="00817D5E"/>
    <w:rsid w:val="00823764"/>
    <w:rsid w:val="00825AC8"/>
    <w:rsid w:val="00833CCE"/>
    <w:rsid w:val="00835E24"/>
    <w:rsid w:val="00836F47"/>
    <w:rsid w:val="008457AC"/>
    <w:rsid w:val="00852435"/>
    <w:rsid w:val="00875AD5"/>
    <w:rsid w:val="00882514"/>
    <w:rsid w:val="00887C80"/>
    <w:rsid w:val="008A0CD5"/>
    <w:rsid w:val="008A13C9"/>
    <w:rsid w:val="008B6081"/>
    <w:rsid w:val="008B7BA7"/>
    <w:rsid w:val="008C3A9F"/>
    <w:rsid w:val="008D1662"/>
    <w:rsid w:val="008D2E55"/>
    <w:rsid w:val="008D32B8"/>
    <w:rsid w:val="008F08CB"/>
    <w:rsid w:val="008F72A4"/>
    <w:rsid w:val="009009D9"/>
    <w:rsid w:val="009018C6"/>
    <w:rsid w:val="00902D76"/>
    <w:rsid w:val="00903CFB"/>
    <w:rsid w:val="00906599"/>
    <w:rsid w:val="0091555B"/>
    <w:rsid w:val="00930C67"/>
    <w:rsid w:val="00942951"/>
    <w:rsid w:val="00943E68"/>
    <w:rsid w:val="0095402C"/>
    <w:rsid w:val="00961739"/>
    <w:rsid w:val="0096686E"/>
    <w:rsid w:val="00977B69"/>
    <w:rsid w:val="009863C1"/>
    <w:rsid w:val="00992D70"/>
    <w:rsid w:val="00996289"/>
    <w:rsid w:val="009A02D5"/>
    <w:rsid w:val="009A22E0"/>
    <w:rsid w:val="009A2E74"/>
    <w:rsid w:val="009B36CC"/>
    <w:rsid w:val="009C47EB"/>
    <w:rsid w:val="009D6AD3"/>
    <w:rsid w:val="009D761E"/>
    <w:rsid w:val="009E1E7A"/>
    <w:rsid w:val="009E3B6A"/>
    <w:rsid w:val="009E7BF0"/>
    <w:rsid w:val="009F343D"/>
    <w:rsid w:val="009F58FD"/>
    <w:rsid w:val="009F66F0"/>
    <w:rsid w:val="00A0202C"/>
    <w:rsid w:val="00A02BB9"/>
    <w:rsid w:val="00A13402"/>
    <w:rsid w:val="00A16E80"/>
    <w:rsid w:val="00A1750D"/>
    <w:rsid w:val="00A21BC7"/>
    <w:rsid w:val="00A27641"/>
    <w:rsid w:val="00A30DB1"/>
    <w:rsid w:val="00A32B3E"/>
    <w:rsid w:val="00A40C0F"/>
    <w:rsid w:val="00A41B72"/>
    <w:rsid w:val="00A50193"/>
    <w:rsid w:val="00A5759F"/>
    <w:rsid w:val="00A62E3A"/>
    <w:rsid w:val="00A66A71"/>
    <w:rsid w:val="00A73489"/>
    <w:rsid w:val="00A74AC9"/>
    <w:rsid w:val="00A76686"/>
    <w:rsid w:val="00A90E1B"/>
    <w:rsid w:val="00A92D03"/>
    <w:rsid w:val="00A9653B"/>
    <w:rsid w:val="00AA1D62"/>
    <w:rsid w:val="00AC10A8"/>
    <w:rsid w:val="00AE4B23"/>
    <w:rsid w:val="00AE4EE8"/>
    <w:rsid w:val="00AF09E9"/>
    <w:rsid w:val="00AF2426"/>
    <w:rsid w:val="00AF7E92"/>
    <w:rsid w:val="00B0562A"/>
    <w:rsid w:val="00B05FE5"/>
    <w:rsid w:val="00B12530"/>
    <w:rsid w:val="00B150D4"/>
    <w:rsid w:val="00B25635"/>
    <w:rsid w:val="00B30DD3"/>
    <w:rsid w:val="00B46072"/>
    <w:rsid w:val="00B503F4"/>
    <w:rsid w:val="00B60CC5"/>
    <w:rsid w:val="00B62A7C"/>
    <w:rsid w:val="00B70B65"/>
    <w:rsid w:val="00B736B7"/>
    <w:rsid w:val="00B75EA3"/>
    <w:rsid w:val="00B77F61"/>
    <w:rsid w:val="00B82066"/>
    <w:rsid w:val="00B838DE"/>
    <w:rsid w:val="00B849B3"/>
    <w:rsid w:val="00B84F25"/>
    <w:rsid w:val="00B86400"/>
    <w:rsid w:val="00B951DC"/>
    <w:rsid w:val="00BA1BB3"/>
    <w:rsid w:val="00BA6B3C"/>
    <w:rsid w:val="00BB2E59"/>
    <w:rsid w:val="00BB31B9"/>
    <w:rsid w:val="00BC02EA"/>
    <w:rsid w:val="00BC17E8"/>
    <w:rsid w:val="00C00757"/>
    <w:rsid w:val="00C0141F"/>
    <w:rsid w:val="00C13C33"/>
    <w:rsid w:val="00C16B68"/>
    <w:rsid w:val="00C25E8E"/>
    <w:rsid w:val="00C26FFB"/>
    <w:rsid w:val="00C27FB3"/>
    <w:rsid w:val="00C33D89"/>
    <w:rsid w:val="00C353E3"/>
    <w:rsid w:val="00C36678"/>
    <w:rsid w:val="00C41C18"/>
    <w:rsid w:val="00C43B74"/>
    <w:rsid w:val="00C61D75"/>
    <w:rsid w:val="00C70A5F"/>
    <w:rsid w:val="00C72031"/>
    <w:rsid w:val="00C72D66"/>
    <w:rsid w:val="00C76CD2"/>
    <w:rsid w:val="00C805F9"/>
    <w:rsid w:val="00C825DC"/>
    <w:rsid w:val="00C8375E"/>
    <w:rsid w:val="00C858B4"/>
    <w:rsid w:val="00C85D9F"/>
    <w:rsid w:val="00C87194"/>
    <w:rsid w:val="00C91BBE"/>
    <w:rsid w:val="00C92218"/>
    <w:rsid w:val="00C95DCD"/>
    <w:rsid w:val="00C97769"/>
    <w:rsid w:val="00CB2967"/>
    <w:rsid w:val="00CB3303"/>
    <w:rsid w:val="00CC10E5"/>
    <w:rsid w:val="00CC33BE"/>
    <w:rsid w:val="00CC687F"/>
    <w:rsid w:val="00CD672F"/>
    <w:rsid w:val="00CE2CCC"/>
    <w:rsid w:val="00CE3F78"/>
    <w:rsid w:val="00CE79E9"/>
    <w:rsid w:val="00CF1F8F"/>
    <w:rsid w:val="00CF3E4D"/>
    <w:rsid w:val="00CF6AC3"/>
    <w:rsid w:val="00D12EB5"/>
    <w:rsid w:val="00D13A08"/>
    <w:rsid w:val="00D15207"/>
    <w:rsid w:val="00D231DC"/>
    <w:rsid w:val="00D34CDA"/>
    <w:rsid w:val="00D41460"/>
    <w:rsid w:val="00D43E60"/>
    <w:rsid w:val="00D452E3"/>
    <w:rsid w:val="00D54CDC"/>
    <w:rsid w:val="00D56AC4"/>
    <w:rsid w:val="00D575A8"/>
    <w:rsid w:val="00D60F09"/>
    <w:rsid w:val="00D61488"/>
    <w:rsid w:val="00D7062A"/>
    <w:rsid w:val="00D749F0"/>
    <w:rsid w:val="00D74E49"/>
    <w:rsid w:val="00D90CD9"/>
    <w:rsid w:val="00D97FF6"/>
    <w:rsid w:val="00DA1967"/>
    <w:rsid w:val="00DA46FD"/>
    <w:rsid w:val="00DB1486"/>
    <w:rsid w:val="00DB25AC"/>
    <w:rsid w:val="00DB4C2A"/>
    <w:rsid w:val="00DB66ED"/>
    <w:rsid w:val="00DD4983"/>
    <w:rsid w:val="00DD572F"/>
    <w:rsid w:val="00DE40C8"/>
    <w:rsid w:val="00DE43D5"/>
    <w:rsid w:val="00DF2BD6"/>
    <w:rsid w:val="00DF401D"/>
    <w:rsid w:val="00DF4DA7"/>
    <w:rsid w:val="00DF64EA"/>
    <w:rsid w:val="00E00B2F"/>
    <w:rsid w:val="00E02CFA"/>
    <w:rsid w:val="00E07533"/>
    <w:rsid w:val="00E07675"/>
    <w:rsid w:val="00E11684"/>
    <w:rsid w:val="00E35088"/>
    <w:rsid w:val="00E400FE"/>
    <w:rsid w:val="00E463C9"/>
    <w:rsid w:val="00E7201F"/>
    <w:rsid w:val="00E84596"/>
    <w:rsid w:val="00E84BDB"/>
    <w:rsid w:val="00E84D05"/>
    <w:rsid w:val="00E87E89"/>
    <w:rsid w:val="00E932E7"/>
    <w:rsid w:val="00E93AB4"/>
    <w:rsid w:val="00E96129"/>
    <w:rsid w:val="00E966BC"/>
    <w:rsid w:val="00EA33B3"/>
    <w:rsid w:val="00EA49B5"/>
    <w:rsid w:val="00EB0D66"/>
    <w:rsid w:val="00EB617D"/>
    <w:rsid w:val="00EC78B0"/>
    <w:rsid w:val="00ED5100"/>
    <w:rsid w:val="00ED7725"/>
    <w:rsid w:val="00EE0B8D"/>
    <w:rsid w:val="00EE483D"/>
    <w:rsid w:val="00EE4FFE"/>
    <w:rsid w:val="00EF0B7E"/>
    <w:rsid w:val="00EF0C5A"/>
    <w:rsid w:val="00EF74AD"/>
    <w:rsid w:val="00F048A2"/>
    <w:rsid w:val="00F14F1D"/>
    <w:rsid w:val="00F205BC"/>
    <w:rsid w:val="00F223CC"/>
    <w:rsid w:val="00F2546C"/>
    <w:rsid w:val="00F34A38"/>
    <w:rsid w:val="00F34A84"/>
    <w:rsid w:val="00F34D5A"/>
    <w:rsid w:val="00F35BD3"/>
    <w:rsid w:val="00F45B16"/>
    <w:rsid w:val="00F45CE4"/>
    <w:rsid w:val="00F476AE"/>
    <w:rsid w:val="00F5672C"/>
    <w:rsid w:val="00F57DA7"/>
    <w:rsid w:val="00F63218"/>
    <w:rsid w:val="00F659B8"/>
    <w:rsid w:val="00F70492"/>
    <w:rsid w:val="00F71211"/>
    <w:rsid w:val="00F73329"/>
    <w:rsid w:val="00F816F4"/>
    <w:rsid w:val="00F8521A"/>
    <w:rsid w:val="00F877BD"/>
    <w:rsid w:val="00F9629A"/>
    <w:rsid w:val="00FA0EA5"/>
    <w:rsid w:val="00FA6077"/>
    <w:rsid w:val="00FB72CD"/>
    <w:rsid w:val="00FC28BB"/>
    <w:rsid w:val="00FD1BB7"/>
    <w:rsid w:val="00FD752B"/>
    <w:rsid w:val="00FE06C1"/>
    <w:rsid w:val="00FE2FA9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F0FC2668-9369-443E-A22A-25EF1DA23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rsid w:val="006A5C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60CC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FC2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4">
    <w:name w:val="xl24"/>
    <w:basedOn w:val="a"/>
    <w:rsid w:val="009D7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styleId="a7">
    <w:name w:val="header"/>
    <w:basedOn w:val="a"/>
    <w:link w:val="a8"/>
    <w:uiPriority w:val="99"/>
    <w:rsid w:val="00C0075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00757"/>
    <w:rPr>
      <w:sz w:val="24"/>
      <w:szCs w:val="24"/>
    </w:rPr>
  </w:style>
  <w:style w:type="paragraph" w:styleId="a9">
    <w:name w:val="footer"/>
    <w:basedOn w:val="a"/>
    <w:link w:val="aa"/>
    <w:uiPriority w:val="99"/>
    <w:rsid w:val="00C0075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00757"/>
    <w:rPr>
      <w:sz w:val="24"/>
      <w:szCs w:val="24"/>
    </w:rPr>
  </w:style>
  <w:style w:type="character" w:styleId="ab">
    <w:name w:val="Hyperlink"/>
    <w:uiPriority w:val="99"/>
    <w:unhideWhenUsed/>
    <w:rsid w:val="0051203A"/>
    <w:rPr>
      <w:color w:val="0000FF"/>
      <w:u w:val="single"/>
    </w:rPr>
  </w:style>
  <w:style w:type="character" w:styleId="ac">
    <w:name w:val="FollowedHyperlink"/>
    <w:uiPriority w:val="99"/>
    <w:unhideWhenUsed/>
    <w:rsid w:val="0051203A"/>
    <w:rPr>
      <w:color w:val="800080"/>
      <w:u w:val="single"/>
    </w:rPr>
  </w:style>
  <w:style w:type="paragraph" w:customStyle="1" w:styleId="xl65">
    <w:name w:val="xl6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7">
    <w:name w:val="xl6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a"/>
    <w:rsid w:val="00695F1D"/>
    <w:pPr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5">
    <w:name w:val="xl7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7">
    <w:name w:val="xl7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9">
    <w:name w:val="xl7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0">
    <w:name w:val="xl80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2">
    <w:name w:val="xl8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4">
    <w:name w:val="xl8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">
    <w:name w:val="xl8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8">
    <w:name w:val="xl8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3">
    <w:name w:val="xl9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4">
    <w:name w:val="xl9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5">
    <w:name w:val="xl9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7">
    <w:name w:val="xl9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8">
    <w:name w:val="xl98"/>
    <w:basedOn w:val="a"/>
    <w:rsid w:val="00695F1D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695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695F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0">
    <w:name w:val="xl110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2">
    <w:name w:val="xl112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3">
    <w:name w:val="xl113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114">
    <w:name w:val="xl114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8">
    <w:name w:val="xl118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192.168.1.3\depfinstorage\&#1055;&#1077;&#1081;&#1075;&#1072;&#1085;&#1086;&#1074;&#1080;&#1095;\&#1048;&#1079;&#1084;&#1077;&#1085;&#1077;&#1085;&#1080;&#1103;%20&#1073;&#1102;&#1076;&#1078;&#1077;&#1090;&#1072;%202025%20&#1075;&#1086;&#1076;&#1072;%20&#8470;113%20&#1086;&#1090;%2017.12.2024.%20&#1054;&#1090;&#1095;&#1077;&#1090;&#1099;%20&#1074;%20&#1057;&#1086;&#1074;&#1077;&#1090;%20&#1076;&#1077;&#1087;&#1091;&#1090;&#1072;&#1090;&#1086;&#1074;\&#1054;&#1090;&#1095;&#1077;&#1090;%20&#1079;&#1072;%20I%20&#1082;&#1074;.2025\&#1054;&#1090;&#1095;&#1077;&#1090;_&#1076;&#1086;&#1093;&#1086;&#1076;&#1099;%20I%20&#1082;&#1074;&#1072;&#1088;&#1090;&#1072;&#1083;%20202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1.3\depfinstorage\&#1050;&#1086;&#1087;&#1080;&#1085;&#1072;\&#1041;&#1070;&#1044;&#1046;&#1045;&#1058;%202025%20&#1075;&#1086;&#1076;\&#1054;&#1090;&#1095;&#1077;&#1090;%20&#1079;&#1072;%20I%20&#1082;&#1074;&#1072;&#1088;&#1090;&#1072;&#1083;%202025%20&#1075;&#1086;&#1076;&#1072;\&#1044;&#1080;&#1072;&#1075;&#1088;&#1072;&#1084;&#1084;&#1099;%20&#1076;&#1083;&#1103;%20&#1086;&#1090;&#1095;&#1077;&#1090;&#1072;%20&#1079;&#1072;%201%20&#1082;&#1074;&#1072;&#1088;&#1090;&#1072;&#1083;%202025&#1075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1.3\depfinstorage\&#1055;&#1077;&#1081;&#1075;&#1072;&#1085;&#1086;&#1074;&#1080;&#1095;\&#1054;&#1090;&#1082;&#1088;&#1099;&#1090;&#1086;&#1089;&#1090;&#1100;%20&#1073;&#1102;&#1076;&#1078;&#1077;&#1090;&#1085;&#1099;&#1093;%20&#1076;&#1072;&#1085;&#1085;&#1099;&#1093;\2026\&#1048;&#1085;&#1092;&#1086;&#1075;&#1088;&#1072;&#1092;&#1080;&#1082;&#1072;\&#1054;&#1090;&#1095;&#1077;&#1090;_&#1076;&#1077;&#1092;&#1080;&#1094;&#1080;&#1090;%20&#1087;&#1086;&#1082;&#1074;&#1072;&#1088;&#1090;&#1072;&#1083;&#1100;&#1085;&#1086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1.3\depfinstorage\&#1055;&#1077;&#1081;&#1075;&#1072;&#1085;&#1086;&#1074;&#1080;&#1095;\&#1054;&#1090;&#1082;&#1088;&#1099;&#1090;&#1086;&#1089;&#1090;&#1100;%20&#1073;&#1102;&#1076;&#1078;&#1077;&#1090;&#1085;&#1099;&#1093;%20&#1076;&#1072;&#1085;&#1085;&#1099;&#1093;\2026\&#1048;&#1085;&#1092;&#1086;&#1075;&#1088;&#1072;&#1092;&#1080;&#1082;&#1072;\&#1054;&#1090;&#1095;&#1077;&#1090;_&#1076;&#1077;&#1092;&#1080;&#1094;&#1080;&#1090;%20&#1087;&#1086;&#1082;&#1074;&#1072;&#1088;&#1090;&#1072;&#1083;&#1100;&#1085;&#1086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ru-RU" sz="1000"/>
              <a:t>Исполнение плана </a:t>
            </a:r>
            <a:r>
              <a:rPr lang="en-US" sz="1000"/>
              <a:t>I</a:t>
            </a:r>
            <a:r>
              <a:rPr lang="ru-RU" sz="1000"/>
              <a:t> квартала 2025 года</a:t>
            </a:r>
          </a:p>
          <a:p>
            <a:pPr>
              <a:defRPr sz="1000"/>
            </a:pPr>
            <a:r>
              <a:rPr lang="ru-RU" sz="1000"/>
              <a:t>Структура налоговых и неналоговых доходов</a:t>
            </a:r>
          </a:p>
        </c:rich>
      </c:tx>
      <c:layout>
        <c:manualLayout>
          <c:xMode val="edge"/>
          <c:yMode val="edge"/>
          <c:x val="0.32061837162335383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8304934102098586E-2"/>
          <c:y val="1.5461307452879886E-3"/>
          <c:w val="0.9216893937473889"/>
          <c:h val="0.7378476513305791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'[Отчет_доходы I квартал 2025.xlsx]Графика'!$C$2</c:f>
              <c:strCache>
                <c:ptCount val="1"/>
                <c:pt idx="0">
                  <c:v>План</c:v>
                </c:pt>
              </c:strCache>
            </c:strRef>
          </c:tx>
          <c:invertIfNegative val="0"/>
          <c:cat>
            <c:strRef>
              <c:f>'[Отчет_доходы I квартал 2025.xlsx]Графика'!$B$3:$B$14</c:f>
              <c:strCache>
                <c:ptCount val="12"/>
                <c:pt idx="0">
                  <c:v>НДФЛ</c:v>
                </c:pt>
                <c:pt idx="1">
                  <c:v>Акцизы</c:v>
                </c:pt>
                <c:pt idx="2">
                  <c:v>Налоги на совокупный доход</c:v>
                </c:pt>
                <c:pt idx="3">
                  <c:v>НИФЛ</c:v>
                </c:pt>
                <c:pt idx="4">
                  <c:v>Земельный налог</c:v>
                </c:pt>
                <c:pt idx="5">
                  <c:v>Госпошлина</c:v>
                </c:pt>
                <c:pt idx="6">
                  <c:v>Доходы от использ. имущества</c:v>
                </c:pt>
                <c:pt idx="7">
                  <c:v>Негативное воздействие</c:v>
                </c:pt>
                <c:pt idx="8">
                  <c:v>Доходы от компенс. затрат государства</c:v>
                </c:pt>
                <c:pt idx="9">
                  <c:v>Доходы от продажи активов</c:v>
                </c:pt>
                <c:pt idx="10">
                  <c:v>Штрафы</c:v>
                </c:pt>
                <c:pt idx="11">
                  <c:v>Прочие</c:v>
                </c:pt>
              </c:strCache>
            </c:strRef>
          </c:cat>
          <c:val>
            <c:numRef>
              <c:f>'[Отчет_доходы I квартал 2025.xlsx]Графика'!$C$3:$C$14</c:f>
              <c:numCache>
                <c:formatCode>#,##0.0</c:formatCode>
                <c:ptCount val="12"/>
                <c:pt idx="0">
                  <c:v>290140.59999999998</c:v>
                </c:pt>
                <c:pt idx="1">
                  <c:v>8169.9</c:v>
                </c:pt>
                <c:pt idx="2">
                  <c:v>22399.1</c:v>
                </c:pt>
                <c:pt idx="3">
                  <c:v>2440.4</c:v>
                </c:pt>
                <c:pt idx="4">
                  <c:v>21252</c:v>
                </c:pt>
                <c:pt idx="5">
                  <c:v>6512.4</c:v>
                </c:pt>
                <c:pt idx="6">
                  <c:v>22172</c:v>
                </c:pt>
                <c:pt idx="7">
                  <c:v>604.29999999999995</c:v>
                </c:pt>
                <c:pt idx="8">
                  <c:v>16344.8</c:v>
                </c:pt>
                <c:pt idx="9">
                  <c:v>3698.5</c:v>
                </c:pt>
                <c:pt idx="10">
                  <c:v>573.4</c:v>
                </c:pt>
                <c:pt idx="11">
                  <c:v>1486.9</c:v>
                </c:pt>
              </c:numCache>
            </c:numRef>
          </c:val>
        </c:ser>
        <c:ser>
          <c:idx val="1"/>
          <c:order val="1"/>
          <c:tx>
            <c:strRef>
              <c:f>'[Отчет_доходы I квартал 2025.xlsx]Графика'!$D$2</c:f>
              <c:strCache>
                <c:ptCount val="1"/>
                <c:pt idx="0">
                  <c:v>Факт</c:v>
                </c:pt>
              </c:strCache>
            </c:strRef>
          </c:tx>
          <c:invertIfNegative val="0"/>
          <c:cat>
            <c:strRef>
              <c:f>'[Отчет_доходы I квартал 2025.xlsx]Графика'!$B$3:$B$14</c:f>
              <c:strCache>
                <c:ptCount val="12"/>
                <c:pt idx="0">
                  <c:v>НДФЛ</c:v>
                </c:pt>
                <c:pt idx="1">
                  <c:v>Акцизы</c:v>
                </c:pt>
                <c:pt idx="2">
                  <c:v>Налоги на совокупный доход</c:v>
                </c:pt>
                <c:pt idx="3">
                  <c:v>НИФЛ</c:v>
                </c:pt>
                <c:pt idx="4">
                  <c:v>Земельный налог</c:v>
                </c:pt>
                <c:pt idx="5">
                  <c:v>Госпошлина</c:v>
                </c:pt>
                <c:pt idx="6">
                  <c:v>Доходы от использ. имущества</c:v>
                </c:pt>
                <c:pt idx="7">
                  <c:v>Негативное воздействие</c:v>
                </c:pt>
                <c:pt idx="8">
                  <c:v>Доходы от компенс. затрат государства</c:v>
                </c:pt>
                <c:pt idx="9">
                  <c:v>Доходы от продажи активов</c:v>
                </c:pt>
                <c:pt idx="10">
                  <c:v>Штрафы</c:v>
                </c:pt>
                <c:pt idx="11">
                  <c:v>Прочие</c:v>
                </c:pt>
              </c:strCache>
            </c:strRef>
          </c:cat>
          <c:val>
            <c:numRef>
              <c:f>'[Отчет_доходы I квартал 2025.xlsx]Графика'!$D$3:$D$14</c:f>
              <c:numCache>
                <c:formatCode>#,##0.0</c:formatCode>
                <c:ptCount val="12"/>
                <c:pt idx="0">
                  <c:v>330323.7</c:v>
                </c:pt>
                <c:pt idx="1">
                  <c:v>8056.3</c:v>
                </c:pt>
                <c:pt idx="2">
                  <c:v>19548.599999999999</c:v>
                </c:pt>
                <c:pt idx="3">
                  <c:v>3155.5</c:v>
                </c:pt>
                <c:pt idx="4">
                  <c:v>23679.8</c:v>
                </c:pt>
                <c:pt idx="5">
                  <c:v>6494.7</c:v>
                </c:pt>
                <c:pt idx="6">
                  <c:v>24935.600000000002</c:v>
                </c:pt>
                <c:pt idx="7">
                  <c:v>-77.400000000000006</c:v>
                </c:pt>
                <c:pt idx="8">
                  <c:v>18887.900000000001</c:v>
                </c:pt>
                <c:pt idx="9">
                  <c:v>45568.5</c:v>
                </c:pt>
                <c:pt idx="10">
                  <c:v>659.2</c:v>
                </c:pt>
                <c:pt idx="11">
                  <c:v>1486.9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9097392"/>
        <c:axId val="209098176"/>
      </c:barChart>
      <c:catAx>
        <c:axId val="20909739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09098176"/>
        <c:crosses val="autoZero"/>
        <c:auto val="1"/>
        <c:lblAlgn val="ctr"/>
        <c:lblOffset val="100"/>
        <c:noMultiLvlLbl val="0"/>
      </c:catAx>
      <c:valAx>
        <c:axId val="209098176"/>
        <c:scaling>
          <c:orientation val="minMax"/>
          <c:max val="350000"/>
          <c:min val="0"/>
        </c:scaling>
        <c:delete val="1"/>
        <c:axPos val="l"/>
        <c:majorGridlines/>
        <c:numFmt formatCode="#,##0.0" sourceLinked="1"/>
        <c:majorTickMark val="none"/>
        <c:minorTickMark val="none"/>
        <c:tickLblPos val="nextTo"/>
        <c:crossAx val="209097392"/>
        <c:crosses val="autoZero"/>
        <c:crossBetween val="between"/>
        <c:majorUnit val="50000"/>
        <c:minorUnit val="50000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/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364430611220409"/>
          <c:y val="0.28795812455261272"/>
          <c:w val="0.66290895008073281"/>
          <c:h val="0.64650807853563763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Pt>
            <c:idx val="8"/>
            <c:bubble3D val="0"/>
          </c:dPt>
          <c:dPt>
            <c:idx val="9"/>
            <c:bubble3D val="0"/>
          </c:dPt>
          <c:dPt>
            <c:idx val="10"/>
            <c:bubble3D val="0"/>
          </c:dPt>
          <c:dLbls>
            <c:dLbl>
              <c:idx val="0"/>
              <c:layout>
                <c:manualLayout>
                  <c:x val="8.3750663888246035E-2"/>
                  <c:y val="-0.13799941978353936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Общегосударственные вопросы</a:t>
                    </a:r>
                  </a:p>
                  <a:p>
                    <a:pPr>
                      <a:defRPr/>
                    </a:pPr>
                    <a:r>
                      <a:rPr lang="ru-RU"/>
                      <a:t> 61 839,1 т.р.; </a:t>
                    </a:r>
                  </a:p>
                  <a:p>
                    <a:pPr>
                      <a:defRPr/>
                    </a:pPr>
                    <a:r>
                      <a:rPr lang="ru-RU"/>
                      <a:t>5,4%</a:t>
                    </a:r>
                  </a:p>
                </c:rich>
              </c:tx>
              <c:numFmt formatCode="0.0%" sourceLinked="0"/>
              <c:spPr/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2311150213834107"/>
                  <c:y val="-6.6322220704313192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Национальная безопасность и правоохранительная деятельность</a:t>
                    </a:r>
                  </a:p>
                  <a:p>
                    <a:pPr>
                      <a:defRPr/>
                    </a:pPr>
                    <a:r>
                      <a:rPr lang="ru-RU"/>
                      <a:t>12 543,7 т.р.; </a:t>
                    </a:r>
                  </a:p>
                  <a:p>
                    <a:pPr>
                      <a:defRPr/>
                    </a:pPr>
                    <a:r>
                      <a:rPr lang="ru-RU"/>
                      <a:t>1,1%</a:t>
                    </a:r>
                  </a:p>
                </c:rich>
              </c:tx>
              <c:numFmt formatCode="0.0%" sourceLinked="0"/>
              <c:spPr/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11441132171864034"/>
                  <c:y val="-1.729546474366354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Национальная экономика </a:t>
                    </a:r>
                  </a:p>
                  <a:p>
                    <a:pPr>
                      <a:defRPr/>
                    </a:pPr>
                    <a:r>
                      <a:rPr lang="ru-RU"/>
                      <a:t>222 475,2 т.р.;</a:t>
                    </a:r>
                  </a:p>
                  <a:p>
                    <a:pPr>
                      <a:defRPr/>
                    </a:pPr>
                    <a:r>
                      <a:rPr lang="ru-RU"/>
                      <a:t> 19,5%</a:t>
                    </a:r>
                  </a:p>
                </c:rich>
              </c:tx>
              <c:numFmt formatCode="0.0%" sourceLinked="0"/>
              <c:spPr/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5.2770583085089709E-2"/>
                  <c:y val="-0.10286076391074081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Жилищно-коммунальное хозяйство </a:t>
                    </a:r>
                  </a:p>
                  <a:p>
                    <a:pPr>
                      <a:defRPr/>
                    </a:pPr>
                    <a:r>
                      <a:rPr lang="ru-RU"/>
                      <a:t>67 337,9 т.р; </a:t>
                    </a:r>
                  </a:p>
                  <a:p>
                    <a:pPr>
                      <a:defRPr/>
                    </a:pPr>
                    <a:r>
                      <a:rPr lang="ru-RU"/>
                      <a:t>5,9%</a:t>
                    </a:r>
                  </a:p>
                </c:rich>
              </c:tx>
              <c:numFmt formatCode="0.0%" sourceLinked="0"/>
              <c:spPr/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2.0129075171804983E-2"/>
                  <c:y val="6.7404626279712429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Охрана окружающей среды 0,0 т.р.; </a:t>
                    </a:r>
                  </a:p>
                  <a:p>
                    <a:pPr>
                      <a:defRPr/>
                    </a:pPr>
                    <a:r>
                      <a:rPr lang="ru-RU"/>
                      <a:t>0,0%</a:t>
                    </a:r>
                  </a:p>
                </c:rich>
              </c:tx>
              <c:numFmt formatCode="0.0%" sourceLinked="0"/>
              <c:spPr/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7.1561930637186327E-2"/>
                  <c:y val="1.4254700699892502E-3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Образование </a:t>
                    </a:r>
                  </a:p>
                  <a:p>
                    <a:pPr>
                      <a:defRPr/>
                    </a:pPr>
                    <a:r>
                      <a:rPr lang="ru-RU"/>
                      <a:t>629 569,1 т.р.; </a:t>
                    </a:r>
                  </a:p>
                  <a:p>
                    <a:pPr>
                      <a:defRPr/>
                    </a:pPr>
                    <a:r>
                      <a:rPr lang="ru-RU"/>
                      <a:t>55,2%</a:t>
                    </a:r>
                  </a:p>
                </c:rich>
              </c:tx>
              <c:numFmt formatCode="0.0%" sourceLinked="0"/>
              <c:spPr/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11508783391584439"/>
                  <c:y val="0.15349104578644657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Культура и кинематография ;</a:t>
                    </a:r>
                  </a:p>
                  <a:p>
                    <a:r>
                      <a:rPr lang="ru-RU"/>
                      <a:t>68 315,2 т.р.; </a:t>
                    </a:r>
                  </a:p>
                  <a:p>
                    <a:r>
                      <a:rPr lang="ru-RU"/>
                      <a:t>6,0%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20192416977577723"/>
                  <c:y val="2.1510220559003257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Социальная политика</a:t>
                    </a:r>
                  </a:p>
                  <a:p>
                    <a:pPr>
                      <a:defRPr/>
                    </a:pPr>
                    <a:r>
                      <a:rPr lang="ru-RU"/>
                      <a:t> 13 126,6 т.р.; </a:t>
                    </a:r>
                  </a:p>
                  <a:p>
                    <a:pPr>
                      <a:defRPr/>
                    </a:pPr>
                    <a:r>
                      <a:rPr lang="ru-RU"/>
                      <a:t>1,1%</a:t>
                    </a:r>
                  </a:p>
                </c:rich>
              </c:tx>
              <c:numFmt formatCode="0.0%" sourceLinked="0"/>
              <c:spPr/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0.23494760361220998"/>
                  <c:y val="-0.13765098291431369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Физическая культура и спорт</a:t>
                    </a:r>
                    <a:r>
                      <a:rPr lang="ru-RU" baseline="0"/>
                      <a:t> </a:t>
                    </a:r>
                  </a:p>
                  <a:p>
                    <a:pPr>
                      <a:defRPr/>
                    </a:pPr>
                    <a:r>
                      <a:rPr lang="ru-RU"/>
                      <a:t> 62 625,7 т.р.;</a:t>
                    </a:r>
                  </a:p>
                  <a:p>
                    <a:pPr>
                      <a:defRPr/>
                    </a:pPr>
                    <a:r>
                      <a:rPr lang="ru-RU"/>
                      <a:t> 5,5%</a:t>
                    </a:r>
                  </a:p>
                </c:rich>
              </c:tx>
              <c:numFmt formatCode="0.0%" sourceLinked="0"/>
              <c:spPr/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0.15901974809455124"/>
                  <c:y val="-0.13330251796796427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Средства массовой информации;</a:t>
                    </a:r>
                  </a:p>
                  <a:p>
                    <a:r>
                      <a:rPr lang="ru-RU"/>
                      <a:t>3 134,7 т.р.; </a:t>
                    </a:r>
                  </a:p>
                  <a:p>
                    <a:r>
                      <a:rPr lang="ru-RU"/>
                      <a:t>0,3%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2.1922348858044397E-2"/>
                  <c:y val="-9.6893371681343571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Обслуживание государственного и муниципального долга</a:t>
                    </a:r>
                    <a:r>
                      <a:rPr lang="ru-RU" baseline="0"/>
                      <a:t> </a:t>
                    </a:r>
                    <a:r>
                      <a:rPr lang="ru-RU"/>
                      <a:t> 0,0 т.р.; </a:t>
                    </a:r>
                  </a:p>
                  <a:p>
                    <a:pPr>
                      <a:defRPr/>
                    </a:pPr>
                    <a:r>
                      <a:rPr lang="ru-RU"/>
                      <a:t>0,0%</a:t>
                    </a:r>
                  </a:p>
                </c:rich>
              </c:tx>
              <c:numFmt formatCode="0.0%" sourceLinked="0"/>
              <c:spPr/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0.17412109200635634"/>
                  <c:y val="-0.10536001348455297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'[Диаграммы для отчета за 1 квартал 2025г.xls]табл.Расходы'!$B$3:$B$13</c:f>
              <c:strCache>
                <c:ptCount val="11"/>
                <c:pt idx="0">
                  <c:v>Общегосударственные вопросы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Жилищно-коммунальное хозяйство</c:v>
                </c:pt>
                <c:pt idx="4">
                  <c:v>Охрана окружающей среды</c:v>
                </c:pt>
                <c:pt idx="5">
                  <c:v>Образование</c:v>
                </c:pt>
                <c:pt idx="6">
                  <c:v>Культура и кинематография </c:v>
                </c:pt>
                <c:pt idx="7">
                  <c:v>Социальная политика</c:v>
                </c:pt>
                <c:pt idx="8">
                  <c:v>Физическая культура и спорт</c:v>
                </c:pt>
                <c:pt idx="9">
                  <c:v>Средства массовой информации</c:v>
                </c:pt>
                <c:pt idx="10">
                  <c:v>Обслуживание государственного и муниципального долга</c:v>
                </c:pt>
              </c:strCache>
            </c:strRef>
          </c:cat>
          <c:val>
            <c:numRef>
              <c:f>'[Диаграммы для отчета за 1 квартал 2025г.xls]табл.Расходы'!$C$3:$C$13</c:f>
              <c:numCache>
                <c:formatCode>#,##0.0</c:formatCode>
                <c:ptCount val="11"/>
                <c:pt idx="0">
                  <c:v>61839.1</c:v>
                </c:pt>
                <c:pt idx="1">
                  <c:v>12543.7</c:v>
                </c:pt>
                <c:pt idx="2">
                  <c:v>222475.2</c:v>
                </c:pt>
                <c:pt idx="3">
                  <c:v>67337.899999999994</c:v>
                </c:pt>
                <c:pt idx="4">
                  <c:v>0</c:v>
                </c:pt>
                <c:pt idx="5">
                  <c:v>629569.1</c:v>
                </c:pt>
                <c:pt idx="6">
                  <c:v>68315.199999999997</c:v>
                </c:pt>
                <c:pt idx="7">
                  <c:v>13126.6</c:v>
                </c:pt>
                <c:pt idx="8">
                  <c:v>62625.7</c:v>
                </c:pt>
                <c:pt idx="9">
                  <c:v>3134.7</c:v>
                </c:pt>
                <c:pt idx="1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'[Отчет_дефицит поквартально.xlsx]1 кв. 2025'!$A$17</c:f>
              <c:strCache>
                <c:ptCount val="1"/>
                <c:pt idx="0">
                  <c:v>Дефицит</c:v>
                </c:pt>
              </c:strCache>
            </c:strRef>
          </c:tx>
          <c:spPr>
            <a:ln w="44450">
              <a:solidFill>
                <a:srgbClr val="C00000"/>
              </a:solidFill>
            </a:ln>
          </c:spPr>
          <c:marker>
            <c:symbol val="circle"/>
            <c:size val="8"/>
            <c:spPr>
              <a:solidFill>
                <a:srgbClr val="C00000"/>
              </a:solidFill>
              <a:ln>
                <a:solidFill>
                  <a:srgbClr val="C00000"/>
                </a:solidFill>
              </a:ln>
            </c:spPr>
          </c:marker>
          <c:cat>
            <c:strRef>
              <c:f>'[Отчет_дефицит поквартально.xlsx]1 кв. 2025'!$B$16:$D$16</c:f>
              <c:strCache>
                <c:ptCount val="3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</c:strCache>
            </c:strRef>
          </c:cat>
          <c:val>
            <c:numRef>
              <c:f>'[Отчет_дефицит поквартально.xlsx]1 кв. 2025'!$B$17:$D$17</c:f>
              <c:numCache>
                <c:formatCode>#\ ##0.0</c:formatCode>
                <c:ptCount val="3"/>
                <c:pt idx="0">
                  <c:v>-4814</c:v>
                </c:pt>
                <c:pt idx="1">
                  <c:v>-2871.9</c:v>
                </c:pt>
                <c:pt idx="2">
                  <c:v>79341.2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9095824"/>
        <c:axId val="209100136"/>
      </c:lineChart>
      <c:catAx>
        <c:axId val="2090958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09100136"/>
        <c:crosses val="autoZero"/>
        <c:auto val="1"/>
        <c:lblAlgn val="ctr"/>
        <c:lblOffset val="100"/>
        <c:noMultiLvlLbl val="0"/>
      </c:catAx>
      <c:valAx>
        <c:axId val="209100136"/>
        <c:scaling>
          <c:orientation val="minMax"/>
          <c:max val="400000"/>
          <c:min val="-100000"/>
        </c:scaling>
        <c:delete val="0"/>
        <c:axPos val="l"/>
        <c:majorGridlines/>
        <c:numFmt formatCode="#\ ##0.0" sourceLinked="1"/>
        <c:majorTickMark val="none"/>
        <c:minorTickMark val="none"/>
        <c:tickLblPos val="nextTo"/>
        <c:crossAx val="209095824"/>
        <c:crosses val="autoZero"/>
        <c:crossBetween val="between"/>
        <c:majorUnit val="50000"/>
        <c:minorUnit val="10000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200"/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'[Отчет_дефицит поквартально.xlsx]1 кв. 2025'!$B$7</c:f>
              <c:strCache>
                <c:ptCount val="1"/>
                <c:pt idx="0">
                  <c:v>Объем долга</c:v>
                </c:pt>
              </c:strCache>
            </c:strRef>
          </c:tx>
          <c:invertIfNegative val="0"/>
          <c:cat>
            <c:strRef>
              <c:f>'[Отчет_дефицит поквартально.xlsx]1 кв. 2025'!$C$6:$D$6</c:f>
              <c:strCache>
                <c:ptCount val="2"/>
                <c:pt idx="0">
                  <c:v>На 1.01.2025</c:v>
                </c:pt>
                <c:pt idx="1">
                  <c:v>На 1.04.2025</c:v>
                </c:pt>
              </c:strCache>
            </c:strRef>
          </c:cat>
          <c:val>
            <c:numRef>
              <c:f>'[Отчет_дефицит поквартально.xlsx]1 кв. 2025'!$C$7:$D$7</c:f>
              <c:numCache>
                <c:formatCode>#,##0</c:formatCode>
                <c:ptCount val="2"/>
                <c:pt idx="0">
                  <c:v>62500</c:v>
                </c:pt>
                <c:pt idx="1">
                  <c:v>62500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9096216"/>
        <c:axId val="209100528"/>
      </c:barChart>
      <c:catAx>
        <c:axId val="20909621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09100528"/>
        <c:crosses val="autoZero"/>
        <c:auto val="1"/>
        <c:lblAlgn val="ctr"/>
        <c:lblOffset val="100"/>
        <c:noMultiLvlLbl val="0"/>
      </c:catAx>
      <c:valAx>
        <c:axId val="209100528"/>
        <c:scaling>
          <c:orientation val="minMax"/>
          <c:max val="200000"/>
          <c:min val="0"/>
        </c:scaling>
        <c:delete val="0"/>
        <c:axPos val="l"/>
        <c:majorGridlines/>
        <c:numFmt formatCode="#,##0" sourceLinked="1"/>
        <c:majorTickMark val="none"/>
        <c:minorTickMark val="none"/>
        <c:tickLblPos val="nextTo"/>
        <c:crossAx val="209096216"/>
        <c:crosses val="autoZero"/>
        <c:crossBetween val="between"/>
        <c:majorUnit val="50000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0.15572</cdr:x>
      <cdr:y>0.01347</cdr:y>
    </cdr:from>
    <cdr:to>
      <cdr:x>0.23838</cdr:x>
      <cdr:y>0.08135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952329" y="45784"/>
          <a:ext cx="505535" cy="23069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900"/>
            <a:t>68,4</a:t>
          </a:r>
          <a:r>
            <a:rPr lang="en-US" sz="900"/>
            <a:t>%</a:t>
          </a:r>
          <a:endParaRPr lang="ru-RU" sz="900"/>
        </a:p>
      </cdr:txBody>
    </cdr:sp>
  </cdr:relSizeAnchor>
  <cdr:relSizeAnchor xmlns:cdr="http://schemas.openxmlformats.org/drawingml/2006/chartDrawing">
    <cdr:from>
      <cdr:x>0.16877</cdr:x>
      <cdr:y>0.61837</cdr:y>
    </cdr:from>
    <cdr:to>
      <cdr:x>0.23878</cdr:x>
      <cdr:y>0.69295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032164" y="2101543"/>
          <a:ext cx="428160" cy="2534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900"/>
            <a:t>1,7</a:t>
          </a:r>
          <a:r>
            <a:rPr lang="en-US" sz="900"/>
            <a:t>%</a:t>
          </a:r>
          <a:endParaRPr lang="ru-RU" sz="900"/>
        </a:p>
      </cdr:txBody>
    </cdr:sp>
  </cdr:relSizeAnchor>
  <cdr:relSizeAnchor xmlns:cdr="http://schemas.openxmlformats.org/drawingml/2006/chartDrawing">
    <cdr:from>
      <cdr:x>0.23339</cdr:x>
      <cdr:y>0.57268</cdr:y>
    </cdr:from>
    <cdr:to>
      <cdr:x>0.3067</cdr:x>
      <cdr:y>0.64219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427356" y="1946266"/>
          <a:ext cx="448341" cy="2362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900"/>
            <a:t>4</a:t>
          </a:r>
          <a:r>
            <a:rPr lang="en-US" sz="900"/>
            <a:t>%</a:t>
          </a:r>
          <a:endParaRPr lang="ru-RU" sz="900"/>
        </a:p>
      </cdr:txBody>
    </cdr:sp>
  </cdr:relSizeAnchor>
  <cdr:relSizeAnchor xmlns:cdr="http://schemas.openxmlformats.org/drawingml/2006/chartDrawing">
    <cdr:from>
      <cdr:x>0.39181</cdr:x>
      <cdr:y>0.57776</cdr:y>
    </cdr:from>
    <cdr:to>
      <cdr:x>0.44879</cdr:x>
      <cdr:y>0.64726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2396210" y="1963520"/>
          <a:ext cx="348471" cy="23621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900"/>
            <a:t>5</a:t>
          </a:r>
          <a:r>
            <a:rPr lang="en-US" sz="900"/>
            <a:t>%</a:t>
          </a:r>
          <a:endParaRPr lang="ru-RU" sz="900"/>
        </a:p>
      </cdr:txBody>
    </cdr:sp>
  </cdr:relSizeAnchor>
  <cdr:relSizeAnchor xmlns:cdr="http://schemas.openxmlformats.org/drawingml/2006/chartDrawing">
    <cdr:from>
      <cdr:x>0.46118</cdr:x>
      <cdr:y>0.57153</cdr:y>
    </cdr:from>
    <cdr:to>
      <cdr:x>0.53459</cdr:x>
      <cdr:y>0.64472</cdr:y>
    </cdr:to>
    <cdr:sp macro="" textlink="">
      <cdr:nvSpPr>
        <cdr:cNvPr id="7" name="TextBox 1"/>
        <cdr:cNvSpPr txBox="1"/>
      </cdr:nvSpPr>
      <cdr:spPr>
        <a:xfrm xmlns:a="http://schemas.openxmlformats.org/drawingml/2006/main">
          <a:off x="2820425" y="1942371"/>
          <a:ext cx="448986" cy="24873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900"/>
            <a:t>1,3</a:t>
          </a:r>
          <a:r>
            <a:rPr lang="en-US" sz="900"/>
            <a:t>%</a:t>
          </a:r>
          <a:endParaRPr lang="ru-RU" sz="900"/>
        </a:p>
      </cdr:txBody>
    </cdr:sp>
  </cdr:relSizeAnchor>
  <cdr:relSizeAnchor xmlns:cdr="http://schemas.openxmlformats.org/drawingml/2006/chartDrawing">
    <cdr:from>
      <cdr:x>0.53474</cdr:x>
      <cdr:y>0.569</cdr:y>
    </cdr:from>
    <cdr:to>
      <cdr:x>0.61217</cdr:x>
      <cdr:y>0.63965</cdr:y>
    </cdr:to>
    <cdr:sp macro="" textlink="">
      <cdr:nvSpPr>
        <cdr:cNvPr id="8" name="TextBox 1"/>
        <cdr:cNvSpPr txBox="1"/>
      </cdr:nvSpPr>
      <cdr:spPr>
        <a:xfrm xmlns:a="http://schemas.openxmlformats.org/drawingml/2006/main">
          <a:off x="3270288" y="1933743"/>
          <a:ext cx="473576" cy="2401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900"/>
            <a:t>5,2%</a:t>
          </a:r>
        </a:p>
      </cdr:txBody>
    </cdr:sp>
  </cdr:relSizeAnchor>
  <cdr:relSizeAnchor xmlns:cdr="http://schemas.openxmlformats.org/drawingml/2006/chartDrawing">
    <cdr:from>
      <cdr:x>0.85524</cdr:x>
      <cdr:y>0.61988</cdr:y>
    </cdr:from>
    <cdr:to>
      <cdr:x>0.92672</cdr:x>
      <cdr:y>0.70734</cdr:y>
    </cdr:to>
    <cdr:sp macro="" textlink="">
      <cdr:nvSpPr>
        <cdr:cNvPr id="11" name="TextBox 1"/>
        <cdr:cNvSpPr txBox="1"/>
      </cdr:nvSpPr>
      <cdr:spPr>
        <a:xfrm xmlns:a="http://schemas.openxmlformats.org/drawingml/2006/main">
          <a:off x="5230395" y="2106675"/>
          <a:ext cx="437160" cy="2972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900"/>
            <a:t>0,1</a:t>
          </a:r>
          <a:r>
            <a:rPr lang="en-US" sz="900"/>
            <a:t>%</a:t>
          </a:r>
          <a:endParaRPr lang="ru-RU" sz="900"/>
        </a:p>
      </cdr:txBody>
    </cdr:sp>
  </cdr:relSizeAnchor>
  <cdr:relSizeAnchor xmlns:cdr="http://schemas.openxmlformats.org/drawingml/2006/chartDrawing">
    <cdr:from>
      <cdr:x>0.91605</cdr:x>
      <cdr:y>0.61946</cdr:y>
    </cdr:from>
    <cdr:to>
      <cdr:x>0.98731</cdr:x>
      <cdr:y>0.70691</cdr:y>
    </cdr:to>
    <cdr:sp macro="" textlink="">
      <cdr:nvSpPr>
        <cdr:cNvPr id="12" name="TextBox 1"/>
        <cdr:cNvSpPr txBox="1"/>
      </cdr:nvSpPr>
      <cdr:spPr>
        <a:xfrm xmlns:a="http://schemas.openxmlformats.org/drawingml/2006/main">
          <a:off x="5602290" y="2105247"/>
          <a:ext cx="435757" cy="29720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900"/>
            <a:t>0,3</a:t>
          </a:r>
          <a:r>
            <a:rPr lang="en-US" sz="900"/>
            <a:t>%</a:t>
          </a:r>
          <a:endParaRPr lang="ru-RU" sz="900"/>
        </a:p>
      </cdr:txBody>
    </cdr:sp>
  </cdr:relSizeAnchor>
  <cdr:relSizeAnchor xmlns:cdr="http://schemas.openxmlformats.org/drawingml/2006/chartDrawing">
    <cdr:from>
      <cdr:x>0.31253</cdr:x>
      <cdr:y>0.62345</cdr:y>
    </cdr:from>
    <cdr:to>
      <cdr:x>0.3879</cdr:x>
      <cdr:y>0.70057</cdr:y>
    </cdr:to>
    <cdr:sp macro="" textlink="">
      <cdr:nvSpPr>
        <cdr:cNvPr id="13" name="TextBox 1"/>
        <cdr:cNvSpPr txBox="1"/>
      </cdr:nvSpPr>
      <cdr:spPr>
        <a:xfrm xmlns:a="http://schemas.openxmlformats.org/drawingml/2006/main">
          <a:off x="1911361" y="2118796"/>
          <a:ext cx="460903" cy="2620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900"/>
            <a:t>0,7 </a:t>
          </a:r>
          <a:r>
            <a:rPr lang="en-US" sz="900"/>
            <a:t>%</a:t>
          </a:r>
          <a:endParaRPr lang="ru-RU" sz="900"/>
        </a:p>
      </cdr:txBody>
    </cdr:sp>
  </cdr:relSizeAnchor>
  <cdr:relSizeAnchor xmlns:cdr="http://schemas.openxmlformats.org/drawingml/2006/chartDrawing">
    <cdr:from>
      <cdr:x>0.67567</cdr:x>
      <cdr:y>0.56418</cdr:y>
    </cdr:from>
    <cdr:to>
      <cdr:x>0.75346</cdr:x>
      <cdr:y>0.63111</cdr:y>
    </cdr:to>
    <cdr:sp macro="" textlink="">
      <cdr:nvSpPr>
        <cdr:cNvPr id="14" name="TextBox 1"/>
        <cdr:cNvSpPr txBox="1"/>
      </cdr:nvSpPr>
      <cdr:spPr>
        <a:xfrm xmlns:a="http://schemas.openxmlformats.org/drawingml/2006/main">
          <a:off x="4132200" y="1917393"/>
          <a:ext cx="475739" cy="2274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900"/>
            <a:t>3,9</a:t>
          </a:r>
          <a:r>
            <a:rPr lang="en-US" sz="900"/>
            <a:t>%</a:t>
          </a:r>
          <a:endParaRPr lang="ru-RU" sz="900"/>
        </a:p>
      </cdr:txBody>
    </cdr:sp>
  </cdr:relSizeAnchor>
  <cdr:relSizeAnchor xmlns:cdr="http://schemas.openxmlformats.org/drawingml/2006/chartDrawing">
    <cdr:from>
      <cdr:x>0.76678</cdr:x>
      <cdr:y>0.55994</cdr:y>
    </cdr:from>
    <cdr:to>
      <cdr:x>0.84068</cdr:x>
      <cdr:y>0.62696</cdr:y>
    </cdr:to>
    <cdr:sp macro="" textlink="">
      <cdr:nvSpPr>
        <cdr:cNvPr id="15" name="TextBox 1"/>
        <cdr:cNvSpPr txBox="1"/>
      </cdr:nvSpPr>
      <cdr:spPr>
        <a:xfrm xmlns:a="http://schemas.openxmlformats.org/drawingml/2006/main">
          <a:off x="4689372" y="1902955"/>
          <a:ext cx="451972" cy="2277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900"/>
            <a:t>9,4</a:t>
          </a:r>
          <a:r>
            <a:rPr lang="en-US" sz="900"/>
            <a:t>%</a:t>
          </a:r>
          <a:endParaRPr lang="ru-RU" sz="9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914CA-DEDE-4C9E-A9A2-80364A737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288</CharactersWithSpaces>
  <SharedDoc>false</SharedDoc>
  <HLinks>
    <vt:vector size="6" baseType="variant">
      <vt:variant>
        <vt:i4>2687081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consultantplus://offline/ref=48F3E138D1DB00C2710F5EEEA4EB6940D3899AC38574CC6E04A1DE1D85A332D7C27BD565B11EW7x8G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Кузнецова  Оксана Юрьевна</cp:lastModifiedBy>
  <cp:revision>29</cp:revision>
  <cp:lastPrinted>2018-10-15T06:38:00Z</cp:lastPrinted>
  <dcterms:created xsi:type="dcterms:W3CDTF">2020-03-19T13:06:00Z</dcterms:created>
  <dcterms:modified xsi:type="dcterms:W3CDTF">2026-03-27T12:45:00Z</dcterms:modified>
</cp:coreProperties>
</file>