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25" w:rsidRPr="00ED7725" w:rsidRDefault="00ED7725" w:rsidP="00ED7725">
      <w:pPr>
        <w:jc w:val="center"/>
        <w:rPr>
          <w:b/>
          <w:sz w:val="28"/>
          <w:szCs w:val="28"/>
        </w:rPr>
      </w:pPr>
      <w:r w:rsidRPr="00ED7725">
        <w:rPr>
          <w:b/>
          <w:bCs/>
          <w:sz w:val="28"/>
          <w:szCs w:val="28"/>
        </w:rPr>
        <w:t>Структура налоговых и неналоговых доходов</w:t>
      </w:r>
      <w:r w:rsidR="002F1B6B" w:rsidRPr="002F1B6B">
        <w:rPr>
          <w:b/>
          <w:bCs/>
          <w:sz w:val="28"/>
          <w:szCs w:val="28"/>
        </w:rPr>
        <w:t xml:space="preserve"> </w:t>
      </w:r>
      <w:r w:rsidR="002F1B6B">
        <w:rPr>
          <w:b/>
          <w:sz w:val="28"/>
          <w:szCs w:val="28"/>
        </w:rPr>
        <w:t xml:space="preserve">на </w:t>
      </w:r>
      <w:r w:rsidR="002F1B6B">
        <w:rPr>
          <w:b/>
          <w:sz w:val="28"/>
          <w:szCs w:val="28"/>
        </w:rPr>
        <w:t>0</w:t>
      </w:r>
      <w:r w:rsidR="002F1B6B">
        <w:rPr>
          <w:b/>
          <w:sz w:val="28"/>
          <w:szCs w:val="28"/>
        </w:rPr>
        <w:t>1.01.2026 года</w:t>
      </w:r>
    </w:p>
    <w:p w:rsidR="00145429" w:rsidRPr="002F1B6B" w:rsidRDefault="002F1B6B" w:rsidP="002F1B6B">
      <w:pPr>
        <w:jc w:val="right"/>
      </w:pPr>
      <w:r w:rsidRPr="002F1B6B">
        <w:t>тыс. рублей</w:t>
      </w:r>
    </w:p>
    <w:p w:rsidR="00507D3B" w:rsidRDefault="002F1B6B" w:rsidP="00ED772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1F5DA5" wp14:editId="09586C85">
            <wp:extent cx="6124575" cy="40100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52B8" w:rsidRDefault="004352B8" w:rsidP="00ED7725">
      <w:pPr>
        <w:jc w:val="center"/>
        <w:rPr>
          <w:b/>
          <w:sz w:val="28"/>
          <w:szCs w:val="28"/>
        </w:rPr>
      </w:pPr>
    </w:p>
    <w:p w:rsidR="00ED7725" w:rsidRDefault="00ED7725" w:rsidP="00ED77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расходов на </w:t>
      </w:r>
      <w:r w:rsidR="002F1B6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1.</w:t>
      </w:r>
      <w:r w:rsidR="00335393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.202</w:t>
      </w:r>
      <w:r w:rsidR="002F1B6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2F1B6B" w:rsidRDefault="002F1B6B" w:rsidP="00ED7725">
      <w:pPr>
        <w:jc w:val="center"/>
        <w:rPr>
          <w:b/>
          <w:sz w:val="28"/>
          <w:szCs w:val="28"/>
        </w:rPr>
      </w:pPr>
    </w:p>
    <w:p w:rsidR="007C7DEC" w:rsidRDefault="002F1B6B" w:rsidP="00ED7725">
      <w:pPr>
        <w:jc w:val="center"/>
        <w:rPr>
          <w:b/>
          <w:sz w:val="28"/>
          <w:szCs w:val="28"/>
        </w:rPr>
      </w:pPr>
      <w:r w:rsidRPr="00621C07">
        <w:rPr>
          <w:noProof/>
          <w:color w:val="00B0F0"/>
          <w:highlight w:val="yellow"/>
        </w:rPr>
        <w:drawing>
          <wp:inline distT="0" distB="0" distL="0" distR="0" wp14:anchorId="60D34FDD" wp14:editId="25ABCA25">
            <wp:extent cx="6086475" cy="459105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F1B6B" w:rsidRDefault="00D43E60" w:rsidP="00D43E60">
      <w:pPr>
        <w:jc w:val="center"/>
        <w:rPr>
          <w:b/>
          <w:color w:val="000000"/>
          <w:sz w:val="28"/>
          <w:szCs w:val="28"/>
        </w:rPr>
      </w:pPr>
      <w:r w:rsidRPr="00D43E60">
        <w:rPr>
          <w:b/>
          <w:color w:val="000000"/>
          <w:sz w:val="28"/>
          <w:szCs w:val="28"/>
        </w:rPr>
        <w:t xml:space="preserve">Изменение </w:t>
      </w:r>
      <w:r w:rsidR="00041582">
        <w:rPr>
          <w:b/>
          <w:color w:val="000000"/>
          <w:sz w:val="28"/>
          <w:szCs w:val="28"/>
        </w:rPr>
        <w:t>де</w:t>
      </w:r>
      <w:r w:rsidRPr="00D43E60">
        <w:rPr>
          <w:b/>
          <w:color w:val="000000"/>
          <w:sz w:val="28"/>
          <w:szCs w:val="28"/>
        </w:rPr>
        <w:t>фицита за 20</w:t>
      </w:r>
      <w:r w:rsidR="003D427B">
        <w:rPr>
          <w:b/>
          <w:color w:val="000000"/>
          <w:sz w:val="28"/>
          <w:szCs w:val="28"/>
        </w:rPr>
        <w:t>2</w:t>
      </w:r>
      <w:r w:rsidR="00041582">
        <w:rPr>
          <w:b/>
          <w:color w:val="000000"/>
          <w:sz w:val="28"/>
          <w:szCs w:val="28"/>
        </w:rPr>
        <w:t>5</w:t>
      </w:r>
      <w:r w:rsidRPr="00D43E60">
        <w:rPr>
          <w:b/>
          <w:color w:val="000000"/>
          <w:sz w:val="28"/>
          <w:szCs w:val="28"/>
        </w:rPr>
        <w:t xml:space="preserve"> год, тыс. рублей</w:t>
      </w:r>
    </w:p>
    <w:p w:rsidR="00D43E60" w:rsidRDefault="00041582" w:rsidP="00D43E60">
      <w:pPr>
        <w:jc w:val="center"/>
        <w:rPr>
          <w:b/>
          <w:color w:val="000000"/>
          <w:sz w:val="28"/>
          <w:szCs w:val="28"/>
        </w:rPr>
      </w:pPr>
      <w:r w:rsidRPr="00E623C8">
        <w:rPr>
          <w:noProof/>
          <w:sz w:val="18"/>
          <w:szCs w:val="18"/>
        </w:rPr>
        <w:lastRenderedPageBreak/>
        <w:drawing>
          <wp:inline distT="0" distB="0" distL="0" distR="0" wp14:anchorId="4E8184AE" wp14:editId="3EFA9DC0">
            <wp:extent cx="6562725" cy="37338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B617D" w:rsidRDefault="00EB617D" w:rsidP="00377471">
      <w:pPr>
        <w:jc w:val="right"/>
        <w:rPr>
          <w:b/>
          <w:sz w:val="28"/>
          <w:szCs w:val="28"/>
        </w:rPr>
      </w:pPr>
    </w:p>
    <w:p w:rsidR="00EB617D" w:rsidRDefault="00EB617D" w:rsidP="00377471">
      <w:pPr>
        <w:jc w:val="right"/>
        <w:rPr>
          <w:b/>
          <w:sz w:val="28"/>
          <w:szCs w:val="28"/>
        </w:rPr>
      </w:pPr>
    </w:p>
    <w:p w:rsidR="00D43E60" w:rsidRPr="00041582" w:rsidRDefault="00D43E60" w:rsidP="00D43E60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Объем муниципального долга</w:t>
      </w:r>
      <w:r w:rsidRPr="00D43E60">
        <w:rPr>
          <w:b/>
          <w:color w:val="000000"/>
          <w:sz w:val="28"/>
          <w:szCs w:val="28"/>
        </w:rPr>
        <w:t xml:space="preserve"> за 20</w:t>
      </w:r>
      <w:r w:rsidR="003D427B">
        <w:rPr>
          <w:b/>
          <w:color w:val="000000"/>
          <w:sz w:val="28"/>
          <w:szCs w:val="28"/>
        </w:rPr>
        <w:t>2</w:t>
      </w:r>
      <w:r w:rsidR="00041582">
        <w:rPr>
          <w:b/>
          <w:color w:val="000000"/>
          <w:sz w:val="28"/>
          <w:szCs w:val="28"/>
        </w:rPr>
        <w:t>5</w:t>
      </w:r>
      <w:r w:rsidRPr="00D43E60">
        <w:rPr>
          <w:b/>
          <w:color w:val="000000"/>
          <w:sz w:val="28"/>
          <w:szCs w:val="28"/>
        </w:rPr>
        <w:t xml:space="preserve"> год, тыс. рублей</w:t>
      </w:r>
    </w:p>
    <w:p w:rsidR="00EF5313" w:rsidRPr="00041582" w:rsidRDefault="00EF5313" w:rsidP="00D43E60">
      <w:pPr>
        <w:jc w:val="center"/>
        <w:rPr>
          <w:b/>
          <w:color w:val="000000"/>
          <w:sz w:val="28"/>
          <w:szCs w:val="28"/>
        </w:rPr>
      </w:pPr>
    </w:p>
    <w:p w:rsidR="00093810" w:rsidRPr="00D43E60" w:rsidRDefault="00041582" w:rsidP="00D43E60">
      <w:pPr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5505660" wp14:editId="660E7DB6">
            <wp:extent cx="6048375" cy="340995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093810" w:rsidRPr="00D43E60" w:rsidSect="002F1B6B">
      <w:headerReference w:type="first" r:id="rId13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1D" w:rsidRDefault="00245E1D" w:rsidP="00C00757">
      <w:r>
        <w:separator/>
      </w:r>
    </w:p>
  </w:endnote>
  <w:endnote w:type="continuationSeparator" w:id="0">
    <w:p w:rsidR="00245E1D" w:rsidRDefault="00245E1D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1D" w:rsidRDefault="00245E1D" w:rsidP="00C00757">
      <w:r>
        <w:separator/>
      </w:r>
    </w:p>
  </w:footnote>
  <w:footnote w:type="continuationSeparator" w:id="0">
    <w:p w:rsidR="00245E1D" w:rsidRDefault="00245E1D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A3" w:rsidRDefault="005F6C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231E1"/>
    <w:rsid w:val="00023BBA"/>
    <w:rsid w:val="00035507"/>
    <w:rsid w:val="00041582"/>
    <w:rsid w:val="00042313"/>
    <w:rsid w:val="00047254"/>
    <w:rsid w:val="000508FE"/>
    <w:rsid w:val="00051B28"/>
    <w:rsid w:val="000575E6"/>
    <w:rsid w:val="00067344"/>
    <w:rsid w:val="00074C6D"/>
    <w:rsid w:val="00075D40"/>
    <w:rsid w:val="00093810"/>
    <w:rsid w:val="000A0FA8"/>
    <w:rsid w:val="000A58F7"/>
    <w:rsid w:val="000B0D0C"/>
    <w:rsid w:val="000C495C"/>
    <w:rsid w:val="000C75FC"/>
    <w:rsid w:val="000D03FB"/>
    <w:rsid w:val="000E0112"/>
    <w:rsid w:val="000E0407"/>
    <w:rsid w:val="000E441F"/>
    <w:rsid w:val="000F40DF"/>
    <w:rsid w:val="000F5C21"/>
    <w:rsid w:val="00101B2A"/>
    <w:rsid w:val="00110FFB"/>
    <w:rsid w:val="0011161B"/>
    <w:rsid w:val="0011302C"/>
    <w:rsid w:val="00123D20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891"/>
    <w:rsid w:val="001658CD"/>
    <w:rsid w:val="00165F18"/>
    <w:rsid w:val="00166BA1"/>
    <w:rsid w:val="00174F5D"/>
    <w:rsid w:val="001763B7"/>
    <w:rsid w:val="00177554"/>
    <w:rsid w:val="00181B21"/>
    <w:rsid w:val="001864FB"/>
    <w:rsid w:val="001A6026"/>
    <w:rsid w:val="001B7161"/>
    <w:rsid w:val="001C2FE3"/>
    <w:rsid w:val="001C7C51"/>
    <w:rsid w:val="001D4CF8"/>
    <w:rsid w:val="001D566E"/>
    <w:rsid w:val="001E356E"/>
    <w:rsid w:val="001F33D4"/>
    <w:rsid w:val="001F3884"/>
    <w:rsid w:val="001F3C10"/>
    <w:rsid w:val="001F7BE5"/>
    <w:rsid w:val="002034E6"/>
    <w:rsid w:val="002076D9"/>
    <w:rsid w:val="00211B22"/>
    <w:rsid w:val="00211F24"/>
    <w:rsid w:val="00216A20"/>
    <w:rsid w:val="00221AF4"/>
    <w:rsid w:val="00225CA0"/>
    <w:rsid w:val="00231F0F"/>
    <w:rsid w:val="002434E3"/>
    <w:rsid w:val="00245AAC"/>
    <w:rsid w:val="00245E1D"/>
    <w:rsid w:val="00253969"/>
    <w:rsid w:val="00253A67"/>
    <w:rsid w:val="00255339"/>
    <w:rsid w:val="002610A7"/>
    <w:rsid w:val="00265793"/>
    <w:rsid w:val="00274D7A"/>
    <w:rsid w:val="0028644A"/>
    <w:rsid w:val="00296E24"/>
    <w:rsid w:val="002A3FF8"/>
    <w:rsid w:val="002B0C41"/>
    <w:rsid w:val="002B47F1"/>
    <w:rsid w:val="002E42EE"/>
    <w:rsid w:val="002F0724"/>
    <w:rsid w:val="002F1B6B"/>
    <w:rsid w:val="002F35B2"/>
    <w:rsid w:val="00306F39"/>
    <w:rsid w:val="0031108D"/>
    <w:rsid w:val="003113D6"/>
    <w:rsid w:val="003129DC"/>
    <w:rsid w:val="0032100A"/>
    <w:rsid w:val="00327686"/>
    <w:rsid w:val="003302FA"/>
    <w:rsid w:val="003318C0"/>
    <w:rsid w:val="0033249A"/>
    <w:rsid w:val="00335393"/>
    <w:rsid w:val="00337BF3"/>
    <w:rsid w:val="00340EC1"/>
    <w:rsid w:val="003419BA"/>
    <w:rsid w:val="00344A7F"/>
    <w:rsid w:val="003520FD"/>
    <w:rsid w:val="00354C01"/>
    <w:rsid w:val="00356E4F"/>
    <w:rsid w:val="0035765F"/>
    <w:rsid w:val="003645CA"/>
    <w:rsid w:val="003665B6"/>
    <w:rsid w:val="003721EE"/>
    <w:rsid w:val="00377471"/>
    <w:rsid w:val="00381B87"/>
    <w:rsid w:val="00396450"/>
    <w:rsid w:val="003A479A"/>
    <w:rsid w:val="003B0A50"/>
    <w:rsid w:val="003B2E8D"/>
    <w:rsid w:val="003B2F97"/>
    <w:rsid w:val="003B36AB"/>
    <w:rsid w:val="003B4778"/>
    <w:rsid w:val="003B6D54"/>
    <w:rsid w:val="003B77AF"/>
    <w:rsid w:val="003C1BA1"/>
    <w:rsid w:val="003D427B"/>
    <w:rsid w:val="003F0654"/>
    <w:rsid w:val="003F2130"/>
    <w:rsid w:val="003F4913"/>
    <w:rsid w:val="004034E9"/>
    <w:rsid w:val="004122F5"/>
    <w:rsid w:val="004149CC"/>
    <w:rsid w:val="00420A94"/>
    <w:rsid w:val="004266AF"/>
    <w:rsid w:val="00427BB0"/>
    <w:rsid w:val="004320CC"/>
    <w:rsid w:val="00433795"/>
    <w:rsid w:val="004352B8"/>
    <w:rsid w:val="00444E90"/>
    <w:rsid w:val="0045641C"/>
    <w:rsid w:val="004610F0"/>
    <w:rsid w:val="00472E6F"/>
    <w:rsid w:val="00480497"/>
    <w:rsid w:val="00481A82"/>
    <w:rsid w:val="00485507"/>
    <w:rsid w:val="00487EFF"/>
    <w:rsid w:val="00495525"/>
    <w:rsid w:val="004A0E4A"/>
    <w:rsid w:val="004B3745"/>
    <w:rsid w:val="004C3479"/>
    <w:rsid w:val="004D1941"/>
    <w:rsid w:val="004D413E"/>
    <w:rsid w:val="004D4BF6"/>
    <w:rsid w:val="004E381D"/>
    <w:rsid w:val="004F4567"/>
    <w:rsid w:val="00506963"/>
    <w:rsid w:val="0050752D"/>
    <w:rsid w:val="00507A62"/>
    <w:rsid w:val="00507D3B"/>
    <w:rsid w:val="0051203A"/>
    <w:rsid w:val="005132EB"/>
    <w:rsid w:val="00543189"/>
    <w:rsid w:val="00561917"/>
    <w:rsid w:val="005671F3"/>
    <w:rsid w:val="005767CE"/>
    <w:rsid w:val="00577E7F"/>
    <w:rsid w:val="00582718"/>
    <w:rsid w:val="005833CD"/>
    <w:rsid w:val="00591A06"/>
    <w:rsid w:val="00595F75"/>
    <w:rsid w:val="005A00B0"/>
    <w:rsid w:val="005C0542"/>
    <w:rsid w:val="005C3330"/>
    <w:rsid w:val="005C4194"/>
    <w:rsid w:val="005C48DF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6CA3"/>
    <w:rsid w:val="005F7BA1"/>
    <w:rsid w:val="00601193"/>
    <w:rsid w:val="006043E1"/>
    <w:rsid w:val="006057FE"/>
    <w:rsid w:val="00610712"/>
    <w:rsid w:val="006108D5"/>
    <w:rsid w:val="00613C3D"/>
    <w:rsid w:val="006157A3"/>
    <w:rsid w:val="00647841"/>
    <w:rsid w:val="00653939"/>
    <w:rsid w:val="00653ADB"/>
    <w:rsid w:val="00665E7E"/>
    <w:rsid w:val="00680B30"/>
    <w:rsid w:val="00686639"/>
    <w:rsid w:val="00695F1D"/>
    <w:rsid w:val="006A5C91"/>
    <w:rsid w:val="006A757B"/>
    <w:rsid w:val="006B26C8"/>
    <w:rsid w:val="006B6F03"/>
    <w:rsid w:val="006B7837"/>
    <w:rsid w:val="006D1583"/>
    <w:rsid w:val="006E5D6C"/>
    <w:rsid w:val="006E7437"/>
    <w:rsid w:val="006F03FC"/>
    <w:rsid w:val="006F5888"/>
    <w:rsid w:val="00701D30"/>
    <w:rsid w:val="00705108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37180"/>
    <w:rsid w:val="007432F9"/>
    <w:rsid w:val="00747CCC"/>
    <w:rsid w:val="00747DEC"/>
    <w:rsid w:val="007549C4"/>
    <w:rsid w:val="007563FE"/>
    <w:rsid w:val="007607FA"/>
    <w:rsid w:val="007745CB"/>
    <w:rsid w:val="00785E52"/>
    <w:rsid w:val="00787841"/>
    <w:rsid w:val="007928B5"/>
    <w:rsid w:val="0079338E"/>
    <w:rsid w:val="0079357E"/>
    <w:rsid w:val="0079361B"/>
    <w:rsid w:val="00793EDE"/>
    <w:rsid w:val="007A1250"/>
    <w:rsid w:val="007A1653"/>
    <w:rsid w:val="007B4BB2"/>
    <w:rsid w:val="007C7DEC"/>
    <w:rsid w:val="007E3F50"/>
    <w:rsid w:val="007F1135"/>
    <w:rsid w:val="007F3FC1"/>
    <w:rsid w:val="007F558B"/>
    <w:rsid w:val="007F5CB2"/>
    <w:rsid w:val="00803288"/>
    <w:rsid w:val="00807607"/>
    <w:rsid w:val="00812618"/>
    <w:rsid w:val="00817D5E"/>
    <w:rsid w:val="00823764"/>
    <w:rsid w:val="00825AC8"/>
    <w:rsid w:val="00833CCE"/>
    <w:rsid w:val="00835E24"/>
    <w:rsid w:val="00836F47"/>
    <w:rsid w:val="008457AC"/>
    <w:rsid w:val="00852435"/>
    <w:rsid w:val="00875AD5"/>
    <w:rsid w:val="00882514"/>
    <w:rsid w:val="00887C80"/>
    <w:rsid w:val="008A0CD5"/>
    <w:rsid w:val="008A13C9"/>
    <w:rsid w:val="008B6081"/>
    <w:rsid w:val="008B7BA7"/>
    <w:rsid w:val="008C3A9F"/>
    <w:rsid w:val="008D1662"/>
    <w:rsid w:val="008D2E55"/>
    <w:rsid w:val="008D32B8"/>
    <w:rsid w:val="008F08CB"/>
    <w:rsid w:val="008F72A4"/>
    <w:rsid w:val="009009D9"/>
    <w:rsid w:val="00902D76"/>
    <w:rsid w:val="00903CFB"/>
    <w:rsid w:val="00906599"/>
    <w:rsid w:val="0091555B"/>
    <w:rsid w:val="00930C67"/>
    <w:rsid w:val="00942951"/>
    <w:rsid w:val="0095402C"/>
    <w:rsid w:val="00961739"/>
    <w:rsid w:val="0096686E"/>
    <w:rsid w:val="00977B69"/>
    <w:rsid w:val="009863C1"/>
    <w:rsid w:val="00992D70"/>
    <w:rsid w:val="00996289"/>
    <w:rsid w:val="009A02D5"/>
    <w:rsid w:val="009A22E0"/>
    <w:rsid w:val="009A2E74"/>
    <w:rsid w:val="009B36CC"/>
    <w:rsid w:val="009C0E7D"/>
    <w:rsid w:val="009C47EB"/>
    <w:rsid w:val="009D6AD3"/>
    <w:rsid w:val="009D761E"/>
    <w:rsid w:val="009E1E7A"/>
    <w:rsid w:val="009E3B6A"/>
    <w:rsid w:val="009E7BF0"/>
    <w:rsid w:val="009F343D"/>
    <w:rsid w:val="009F66F0"/>
    <w:rsid w:val="00A0202C"/>
    <w:rsid w:val="00A02BB9"/>
    <w:rsid w:val="00A13402"/>
    <w:rsid w:val="00A16E80"/>
    <w:rsid w:val="00A1750D"/>
    <w:rsid w:val="00A21BC7"/>
    <w:rsid w:val="00A27641"/>
    <w:rsid w:val="00A30DB1"/>
    <w:rsid w:val="00A32B3E"/>
    <w:rsid w:val="00A40C0F"/>
    <w:rsid w:val="00A41B72"/>
    <w:rsid w:val="00A50193"/>
    <w:rsid w:val="00A5759F"/>
    <w:rsid w:val="00A62E3A"/>
    <w:rsid w:val="00A66A71"/>
    <w:rsid w:val="00A73489"/>
    <w:rsid w:val="00A74AC9"/>
    <w:rsid w:val="00A76686"/>
    <w:rsid w:val="00A82692"/>
    <w:rsid w:val="00A90E1B"/>
    <w:rsid w:val="00A92D03"/>
    <w:rsid w:val="00A9653B"/>
    <w:rsid w:val="00AA1D62"/>
    <w:rsid w:val="00AC10A8"/>
    <w:rsid w:val="00AE4B23"/>
    <w:rsid w:val="00AE4EE8"/>
    <w:rsid w:val="00AF09E9"/>
    <w:rsid w:val="00AF2426"/>
    <w:rsid w:val="00AF7E92"/>
    <w:rsid w:val="00B0562A"/>
    <w:rsid w:val="00B05FE5"/>
    <w:rsid w:val="00B12530"/>
    <w:rsid w:val="00B150D4"/>
    <w:rsid w:val="00B25635"/>
    <w:rsid w:val="00B30DD3"/>
    <w:rsid w:val="00B46072"/>
    <w:rsid w:val="00B503F4"/>
    <w:rsid w:val="00B60CC5"/>
    <w:rsid w:val="00B62A7C"/>
    <w:rsid w:val="00B70B65"/>
    <w:rsid w:val="00B736B7"/>
    <w:rsid w:val="00B75EA3"/>
    <w:rsid w:val="00B77F61"/>
    <w:rsid w:val="00B838DE"/>
    <w:rsid w:val="00B849B3"/>
    <w:rsid w:val="00B84F25"/>
    <w:rsid w:val="00B86400"/>
    <w:rsid w:val="00B951DC"/>
    <w:rsid w:val="00BA1BB3"/>
    <w:rsid w:val="00BA6B3C"/>
    <w:rsid w:val="00BB2E59"/>
    <w:rsid w:val="00BB31B9"/>
    <w:rsid w:val="00BC02EA"/>
    <w:rsid w:val="00C00757"/>
    <w:rsid w:val="00C0141F"/>
    <w:rsid w:val="00C16B68"/>
    <w:rsid w:val="00C25E8E"/>
    <w:rsid w:val="00C26FFB"/>
    <w:rsid w:val="00C27FB3"/>
    <w:rsid w:val="00C33D89"/>
    <w:rsid w:val="00C353E3"/>
    <w:rsid w:val="00C36678"/>
    <w:rsid w:val="00C41C18"/>
    <w:rsid w:val="00C43B74"/>
    <w:rsid w:val="00C61D75"/>
    <w:rsid w:val="00C70A5F"/>
    <w:rsid w:val="00C72031"/>
    <w:rsid w:val="00C72D66"/>
    <w:rsid w:val="00C76CD2"/>
    <w:rsid w:val="00C805F9"/>
    <w:rsid w:val="00C825DC"/>
    <w:rsid w:val="00C8375E"/>
    <w:rsid w:val="00C858B4"/>
    <w:rsid w:val="00C85D9F"/>
    <w:rsid w:val="00C87194"/>
    <w:rsid w:val="00C91BBE"/>
    <w:rsid w:val="00C92218"/>
    <w:rsid w:val="00C95DCD"/>
    <w:rsid w:val="00C97769"/>
    <w:rsid w:val="00CB2967"/>
    <w:rsid w:val="00CB3303"/>
    <w:rsid w:val="00CC10E5"/>
    <w:rsid w:val="00CC33BE"/>
    <w:rsid w:val="00CC687F"/>
    <w:rsid w:val="00CE2CCC"/>
    <w:rsid w:val="00CE3F78"/>
    <w:rsid w:val="00CE79E9"/>
    <w:rsid w:val="00CF1F8F"/>
    <w:rsid w:val="00CF3E4D"/>
    <w:rsid w:val="00CF6AC3"/>
    <w:rsid w:val="00D12EB5"/>
    <w:rsid w:val="00D13A08"/>
    <w:rsid w:val="00D15207"/>
    <w:rsid w:val="00D231DC"/>
    <w:rsid w:val="00D34CDA"/>
    <w:rsid w:val="00D41460"/>
    <w:rsid w:val="00D43E60"/>
    <w:rsid w:val="00D452E3"/>
    <w:rsid w:val="00D545A1"/>
    <w:rsid w:val="00D54CDC"/>
    <w:rsid w:val="00D56AC4"/>
    <w:rsid w:val="00D575A8"/>
    <w:rsid w:val="00D60F09"/>
    <w:rsid w:val="00D61488"/>
    <w:rsid w:val="00D7062A"/>
    <w:rsid w:val="00D749F0"/>
    <w:rsid w:val="00D90CD9"/>
    <w:rsid w:val="00D96351"/>
    <w:rsid w:val="00D97FF6"/>
    <w:rsid w:val="00DA1967"/>
    <w:rsid w:val="00DA46FD"/>
    <w:rsid w:val="00DB1486"/>
    <w:rsid w:val="00DB25AC"/>
    <w:rsid w:val="00DB4C2A"/>
    <w:rsid w:val="00DC20A0"/>
    <w:rsid w:val="00DD4983"/>
    <w:rsid w:val="00DD572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1684"/>
    <w:rsid w:val="00E35088"/>
    <w:rsid w:val="00E400FE"/>
    <w:rsid w:val="00E463C9"/>
    <w:rsid w:val="00E623C8"/>
    <w:rsid w:val="00E7201F"/>
    <w:rsid w:val="00E84596"/>
    <w:rsid w:val="00E84BDB"/>
    <w:rsid w:val="00E84D05"/>
    <w:rsid w:val="00E87E89"/>
    <w:rsid w:val="00E932E7"/>
    <w:rsid w:val="00E93AB4"/>
    <w:rsid w:val="00E96129"/>
    <w:rsid w:val="00E966BC"/>
    <w:rsid w:val="00EA33B3"/>
    <w:rsid w:val="00EA49B5"/>
    <w:rsid w:val="00EB0D66"/>
    <w:rsid w:val="00EB617D"/>
    <w:rsid w:val="00EC5801"/>
    <w:rsid w:val="00EC78B0"/>
    <w:rsid w:val="00ED5100"/>
    <w:rsid w:val="00ED7725"/>
    <w:rsid w:val="00EE0B8D"/>
    <w:rsid w:val="00EE483D"/>
    <w:rsid w:val="00EE4FFE"/>
    <w:rsid w:val="00EF0B7E"/>
    <w:rsid w:val="00EF0C5A"/>
    <w:rsid w:val="00EF5313"/>
    <w:rsid w:val="00F048A2"/>
    <w:rsid w:val="00F14F1D"/>
    <w:rsid w:val="00F205BC"/>
    <w:rsid w:val="00F223CC"/>
    <w:rsid w:val="00F2546C"/>
    <w:rsid w:val="00F34A38"/>
    <w:rsid w:val="00F34A84"/>
    <w:rsid w:val="00F34D5A"/>
    <w:rsid w:val="00F45B16"/>
    <w:rsid w:val="00F45CE4"/>
    <w:rsid w:val="00F5672C"/>
    <w:rsid w:val="00F57DA7"/>
    <w:rsid w:val="00F63218"/>
    <w:rsid w:val="00F659B8"/>
    <w:rsid w:val="00F70492"/>
    <w:rsid w:val="00F71211"/>
    <w:rsid w:val="00F73329"/>
    <w:rsid w:val="00F816F4"/>
    <w:rsid w:val="00F877BD"/>
    <w:rsid w:val="00F9629A"/>
    <w:rsid w:val="00FA0EA5"/>
    <w:rsid w:val="00FA6077"/>
    <w:rsid w:val="00FB72CD"/>
    <w:rsid w:val="00FC28BB"/>
    <w:rsid w:val="00FD1BB7"/>
    <w:rsid w:val="00FD752B"/>
    <w:rsid w:val="00FE06C1"/>
    <w:rsid w:val="00FE2FA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3\depfinstorage\&#1055;&#1077;&#1081;&#1075;&#1072;&#1085;&#1086;&#1074;&#1080;&#1095;\&#1054;&#1058;&#1063;&#1045;&#1058;%20&#1079;&#1072;%202025%20&#1075;&#1086;&#1076;\&#1050;&#1057;&#1048;%20&#1080;%20&#1057;&#1044;\&#1055;&#1086;&#1103;&#1089;&#1085;&#1080;&#1090;&#1077;&#1083;&#1100;&#1085;&#1072;&#1103;%20&#1080;%20&#1041;&#1044;&#1043;%202025_&#1090;&#1072;&#1073;&#1083;&#1080;&#1094;&#1072;%20&#1080;%20&#1075;&#1088;&#1072;&#1092;&#1080;&#108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3\depfinstorage\&#1055;&#1077;&#1081;&#1075;&#1072;&#1085;&#1086;&#1074;&#1080;&#1095;\&#1054;&#1090;&#1082;&#1088;&#1099;&#1090;&#1086;&#1089;&#1090;&#1100;%20&#1073;&#1102;&#1076;&#1078;&#1077;&#1090;&#1085;&#1099;&#1093;%20&#1076;&#1072;&#1085;&#1085;&#1099;&#1093;\2026\&#1048;&#1085;&#1092;&#1086;&#1075;&#1088;&#1072;&#1092;&#1080;&#1082;&#1072;\&#1054;&#1090;&#1095;&#1077;&#1090;_&#1076;&#1077;&#1092;&#1080;&#1094;&#1080;&#1090;%20&#1087;&#1086;&#1082;&#1074;&#1072;&#1088;&#1090;&#1072;&#1083;&#1100;&#1085;&#108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3\depfinstorage\&#1055;&#1077;&#1081;&#1075;&#1072;&#1085;&#1086;&#1074;&#1080;&#1095;\&#1054;&#1090;&#1082;&#1088;&#1099;&#1090;&#1086;&#1089;&#1090;&#1100;%20&#1073;&#1102;&#1076;&#1078;&#1077;&#1090;&#1085;&#1099;&#1093;%20&#1076;&#1072;&#1085;&#1085;&#1099;&#1093;\2026\&#1048;&#1085;&#1092;&#1086;&#1075;&#1088;&#1072;&#1092;&#1080;&#1082;&#1072;\&#1054;&#1090;&#1095;&#1077;&#1090;_&#1076;&#1077;&#1092;&#1080;&#1094;&#1080;&#1090;%20&#1087;&#1086;&#1082;&#1074;&#1072;&#1088;&#1090;&#1072;&#1083;&#1100;&#1085;&#108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20"/>
      <c:rotY val="2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38595331104608"/>
          <c:y val="0.10896388523516939"/>
          <c:w val="0.66927911560592468"/>
          <c:h val="0.57442432001135157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23"/>
            <c:extLst xmlns:c16r2="http://schemas.microsoft.com/office/drawing/2015/06/chart">
              <c:ext xmlns:c16="http://schemas.microsoft.com/office/drawing/2014/chart" uri="{C3380CC4-5D6E-409C-BE32-E72D297353CC}">
                <c16:uniqueId val="{00000001-F8EA-4C9F-8E97-E637F554C4ED}"/>
              </c:ext>
            </c:extLst>
          </c:dPt>
          <c:dLbls>
            <c:dLbl>
              <c:idx val="0"/>
              <c:layout>
                <c:manualLayout>
                  <c:x val="-6.3029516333786423E-2"/>
                  <c:y val="3.8198886466422818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НДФЛ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1 533 482,4 т.р. 69,3%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8EA-4C9F-8E97-E637F554C4ED}"/>
                </c:ext>
              </c:extLst>
            </c:dLbl>
            <c:dLbl>
              <c:idx val="1"/>
              <c:layout>
                <c:manualLayout>
                  <c:x val="2.8935068963968927E-2"/>
                  <c:y val="-0.1530456792663387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Акцизы 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33 103,6 т.р. 1,5%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8EA-4C9F-8E97-E637F554C4ED}"/>
                </c:ext>
              </c:extLst>
            </c:dLbl>
            <c:dLbl>
              <c:idx val="2"/>
              <c:layout>
                <c:manualLayout>
                  <c:x val="5.5765012266157245E-2"/>
                  <c:y val="-4.7952575722085083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Налоги на совокупный доход (УСН, ЕНВД, ЕСХН, патент)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139 966,0 т.р. 6,3%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8EA-4C9F-8E97-E637F554C4ED}"/>
                </c:ext>
              </c:extLst>
            </c:dLbl>
            <c:dLbl>
              <c:idx val="3"/>
              <c:layout>
                <c:manualLayout>
                  <c:x val="5.8640640370964517E-2"/>
                  <c:y val="0.10104999345390615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Налог на имущество физлиц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88 319,3 т.р. 4%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8EA-4C9F-8E97-E637F554C4ED}"/>
                </c:ext>
              </c:extLst>
            </c:dLbl>
            <c:dLbl>
              <c:idx val="4"/>
              <c:layout>
                <c:manualLayout>
                  <c:x val="5.9249172391553626E-2"/>
                  <c:y val="0.1850058291407160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Земельный налог 114 830,9 т.р. 5,1%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8EA-4C9F-8E97-E637F554C4ED}"/>
                </c:ext>
              </c:extLst>
            </c:dLbl>
            <c:dLbl>
              <c:idx val="5"/>
              <c:layout>
                <c:manualLayout>
                  <c:x val="-6.6502736924602859E-2"/>
                  <c:y val="4.7769527621398869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Госпошлина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30 571,9 т.р. 1,4%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F8EA-4C9F-8E97-E637F554C4ED}"/>
                </c:ext>
              </c:extLst>
            </c:dLbl>
            <c:dLbl>
              <c:idx val="6"/>
              <c:layout>
                <c:manualLayout>
                  <c:x val="0.14190111150569631"/>
                  <c:y val="0.1624228664780746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Доходы от использования имущества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114 573,3 т.р. 5,2%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8EA-4C9F-8E97-E637F554C4ED}"/>
                </c:ext>
              </c:extLst>
            </c:dLbl>
            <c:dLbl>
              <c:idx val="7"/>
              <c:layout>
                <c:manualLayout>
                  <c:x val="4.9182841258373029E-2"/>
                  <c:y val="0.10790107293595426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Негативное воздействие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2176,4 т.р. 0,1%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F8EA-4C9F-8E97-E637F554C4ED}"/>
                </c:ext>
              </c:extLst>
            </c:dLbl>
            <c:dLbl>
              <c:idx val="8"/>
              <c:layout>
                <c:manualLayout>
                  <c:x val="-0.11535118763342762"/>
                  <c:y val="0.209619640775306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Доходы от компенсации затрат округа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73194,5 т.р. 3,3%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F8EA-4C9F-8E97-E637F554C4ED}"/>
                </c:ext>
              </c:extLst>
            </c:dLbl>
            <c:dLbl>
              <c:idx val="9"/>
              <c:layout>
                <c:manualLayout>
                  <c:x val="-4.3135401231922207E-2"/>
                  <c:y val="8.0251868753935446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Доходы от продажи активов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78 230,0 т.р. 3,5%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F8EA-4C9F-8E97-E637F554C4ED}"/>
                </c:ext>
              </c:extLst>
            </c:dLbl>
            <c:dLbl>
              <c:idx val="10"/>
              <c:layout>
                <c:manualLayout>
                  <c:x val="-3.7526195695211505E-2"/>
                  <c:y val="-8.5458320085285665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Штрафы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3 933,6 т.р. 0,2%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F8EA-4C9F-8E97-E637F554C4ED}"/>
                </c:ext>
              </c:extLst>
            </c:dLbl>
            <c:dLbl>
              <c:idx val="11"/>
              <c:layout>
                <c:manualLayout>
                  <c:x val="-5.5332329182024874E-2"/>
                  <c:y val="-0.1946781023081496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Прочие неналоговые доходы 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1 487,3 т.р. 0,1%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'[Пояснительная и БДГ 2025_таблица и график.xlsx]диаграмма'!$B$5:$B$16</c:f>
              <c:strCache>
                <c:ptCount val="12"/>
                <c:pt idx="0">
                  <c:v>НДФЛ</c:v>
                </c:pt>
                <c:pt idx="1">
                  <c:v>Акцизы</c:v>
                </c:pt>
                <c:pt idx="2">
                  <c:v>Налоги на совокупный доход (УСН, ЕНВД, ЕСХН, патент)</c:v>
                </c:pt>
                <c:pt idx="3">
                  <c:v>Налог на имущество физлиц</c:v>
                </c:pt>
                <c:pt idx="4">
                  <c:v>Земельный налог</c:v>
                </c:pt>
                <c:pt idx="5">
                  <c:v>Госпошлина</c:v>
                </c:pt>
                <c:pt idx="6">
                  <c:v>Доходы от использования имущества</c:v>
                </c:pt>
                <c:pt idx="7">
                  <c:v>Негативное воздействие</c:v>
                </c:pt>
                <c:pt idx="8">
                  <c:v>Доходы от компенсации затрат округа</c:v>
                </c:pt>
                <c:pt idx="9">
                  <c:v>Доходы от продажи активов</c:v>
                </c:pt>
                <c:pt idx="10">
                  <c:v>Штрафы</c:v>
                </c:pt>
                <c:pt idx="11">
                  <c:v>Прочие неналоговые доходы</c:v>
                </c:pt>
              </c:strCache>
            </c:strRef>
          </c:cat>
          <c:val>
            <c:numRef>
              <c:f>'[Пояснительная и БДГ 2025_таблица и график.xlsx]диаграмма'!$C$5:$C$16</c:f>
              <c:numCache>
                <c:formatCode>#\ ##0.0</c:formatCode>
                <c:ptCount val="12"/>
                <c:pt idx="0">
                  <c:v>1533482.4</c:v>
                </c:pt>
                <c:pt idx="1">
                  <c:v>33103.599999999999</c:v>
                </c:pt>
                <c:pt idx="2">
                  <c:v>139966</c:v>
                </c:pt>
                <c:pt idx="3">
                  <c:v>88319.3</c:v>
                </c:pt>
                <c:pt idx="4">
                  <c:v>114830.9</c:v>
                </c:pt>
                <c:pt idx="5">
                  <c:v>30571.9</c:v>
                </c:pt>
                <c:pt idx="6">
                  <c:v>114573.29999999999</c:v>
                </c:pt>
                <c:pt idx="7">
                  <c:v>2176.4</c:v>
                </c:pt>
                <c:pt idx="8">
                  <c:v>73194.5</c:v>
                </c:pt>
                <c:pt idx="9">
                  <c:v>78230</c:v>
                </c:pt>
                <c:pt idx="10">
                  <c:v>3933.6</c:v>
                </c:pt>
                <c:pt idx="11">
                  <c:v>1487.3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F8EA-4C9F-8E97-E637F554C4E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933732152435703"/>
          <c:y val="0.24677175468673351"/>
          <c:w val="0.72511194489950503"/>
          <c:h val="0.71120689655172409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AD7-4E24-9EBA-82B2EB08D703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AD7-4E24-9EBA-82B2EB08D703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AD7-4E24-9EBA-82B2EB08D703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AD7-4E24-9EBA-82B2EB08D703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AAD7-4E24-9EBA-82B2EB08D703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>
                <a:solidFill>
                  <a:schemeClr val="accen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AAD7-4E24-9EBA-82B2EB08D70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AAD7-4E24-9EBA-82B2EB08D703}"/>
              </c:ext>
            </c:extLst>
          </c:dPt>
          <c:dPt>
            <c:idx val="7"/>
            <c:bubble3D val="0"/>
            <c:spPr>
              <a:solidFill>
                <a:schemeClr val="accent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AAD7-4E24-9EBA-82B2EB08D703}"/>
              </c:ext>
            </c:extLst>
          </c:dPt>
          <c:dPt>
            <c:idx val="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F-AAD7-4E24-9EBA-82B2EB08D703}"/>
              </c:ext>
            </c:extLst>
          </c:dPt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0-AAD7-4E24-9EBA-82B2EB08D703}"/>
              </c:ext>
            </c:extLst>
          </c:dPt>
          <c:dPt>
            <c:idx val="1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1-AAD7-4E24-9EBA-82B2EB08D703}"/>
              </c:ext>
            </c:extLst>
          </c:dPt>
          <c:dLbls>
            <c:dLbl>
              <c:idx val="0"/>
              <c:layout>
                <c:manualLayout>
                  <c:x val="-7.2363965424758724E-3"/>
                  <c:y val="-0.19495537046308517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Общегосударственные вопросы; </a:t>
                    </a:r>
                  </a:p>
                  <a:p>
                    <a:r>
                      <a:rPr lang="ru-RU" b="1"/>
                      <a:t>368 760,1 т.р.; </a:t>
                    </a:r>
                  </a:p>
                  <a:p>
                    <a:r>
                      <a:rPr lang="ru-RU" b="1"/>
                      <a:t>7,1%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AD7-4E24-9EBA-82B2EB08D7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2216787254167331"/>
                  <c:y val="-0.15564537091823061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Национальная безопасность и правоохранительная деятельность; </a:t>
                    </a:r>
                  </a:p>
                  <a:p>
                    <a:r>
                      <a:rPr lang="ru-RU" b="1"/>
                      <a:t>72 110,8 т.р.; </a:t>
                    </a:r>
                  </a:p>
                  <a:p>
                    <a:r>
                      <a:rPr lang="ru-RU" b="1"/>
                      <a:t>1,4%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AD7-4E24-9EBA-82B2EB08D7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8810667387325412E-2"/>
                  <c:y val="-9.0940077577008078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Национальная экономика; </a:t>
                    </a:r>
                  </a:p>
                  <a:p>
                    <a:r>
                      <a:rPr lang="ru-RU" b="1"/>
                      <a:t>580 616,1 т.р.; </a:t>
                    </a:r>
                  </a:p>
                  <a:p>
                    <a:r>
                      <a:rPr lang="ru-RU" b="1"/>
                      <a:t>11,3%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AD7-4E24-9EBA-82B2EB08D7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794063573566565E-3"/>
                  <c:y val="0.17027232867567854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Жилищно-коммунальное хозяйство; </a:t>
                    </a:r>
                  </a:p>
                  <a:p>
                    <a:r>
                      <a:rPr lang="ru-RU" b="1"/>
                      <a:t>823 787,9 т.р.; </a:t>
                    </a:r>
                  </a:p>
                  <a:p>
                    <a:r>
                      <a:rPr lang="ru-RU" b="1"/>
                      <a:t>16,0%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AD7-4E24-9EBA-82B2EB08D7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3777734101490036"/>
                  <c:y val="8.807245915069865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Охрана окружающей среды; </a:t>
                    </a:r>
                  </a:p>
                  <a:p>
                    <a:r>
                      <a:rPr lang="ru-RU" b="1"/>
                      <a:t>6 648,4 т.р.; </a:t>
                    </a:r>
                  </a:p>
                  <a:p>
                    <a:r>
                      <a:rPr lang="ru-RU" b="1"/>
                      <a:t>0,1%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AD7-4E24-9EBA-82B2EB08D7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669332285102426E-2"/>
                  <c:y val="3.179888641087503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Образование; </a:t>
                    </a:r>
                  </a:p>
                  <a:p>
                    <a:r>
                      <a:rPr lang="ru-RU" b="1"/>
                      <a:t>2 602 606,4 т.р.; 50,5%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AD7-4E24-9EBA-82B2EB08D7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1423518862014323"/>
                  <c:y val="8.02407213549173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 и кинематография; 325 148,9 т.р.; </a:t>
                    </a:r>
                  </a:p>
                  <a:p>
                    <a:r>
                      <a:rPr lang="ru-RU"/>
                      <a:t>6,3%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AD7-4E24-9EBA-82B2EB08D7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512617670061133"/>
                  <c:y val="-3.0222667253298516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Социальная политика; </a:t>
                    </a:r>
                  </a:p>
                  <a:p>
                    <a:r>
                      <a:rPr lang="ru-RU" b="1"/>
                      <a:t>107 453,4 т.р.; </a:t>
                    </a:r>
                  </a:p>
                  <a:p>
                    <a:r>
                      <a:rPr lang="ru-RU" b="1"/>
                      <a:t>2,1%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AD7-4E24-9EBA-82B2EB08D7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29604988923966408"/>
                  <c:y val="-0.19052528838519461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Физическая культура и спорт; </a:t>
                    </a:r>
                  </a:p>
                  <a:p>
                    <a:r>
                      <a:rPr lang="ru-RU" b="1"/>
                      <a:t>254 986,9 т.р.; </a:t>
                    </a:r>
                  </a:p>
                  <a:p>
                    <a:r>
                      <a:rPr lang="ru-RU" b="1"/>
                      <a:t>4,9%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AD7-4E24-9EBA-82B2EB08D7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22223297750807669"/>
                  <c:y val="-0.1885135456333854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Средства массовой информации; </a:t>
                    </a:r>
                  </a:p>
                  <a:p>
                    <a:r>
                      <a:rPr lang="ru-RU" b="1"/>
                      <a:t>16 538,8 т.р.; </a:t>
                    </a:r>
                  </a:p>
                  <a:p>
                    <a:r>
                      <a:rPr lang="ru-RU" b="1"/>
                      <a:t>0,3%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AD7-4E24-9EBA-82B2EB08D7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0516908865330992E-2"/>
                  <c:y val="-0.1290145090245222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Обслуживание государственного и муниципального долга; </a:t>
                    </a:r>
                  </a:p>
                  <a:p>
                    <a:r>
                      <a:rPr lang="ru-RU" b="1"/>
                      <a:t>62,1 т.р.; </a:t>
                    </a:r>
                  </a:p>
                  <a:p>
                    <a:r>
                      <a:rPr lang="ru-RU" b="1"/>
                      <a:t>0,0%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AAD7-4E24-9EBA-82B2EB08D7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7412109200635634"/>
                  <c:y val="-0.1053600134845529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AAD7-4E24-9EBA-82B2EB08D703}"/>
                </c:ex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'[Копия Диаграммы для отчета за 2025г.xls]табл.Расходы'!$B$3:$B$13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Охрана окружающей среды</c:v>
                </c:pt>
                <c:pt idx="5">
                  <c:v>Образование</c:v>
                </c:pt>
                <c:pt idx="6">
                  <c:v>Культура и кинематография 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'[Копия Диаграммы для отчета за 2025г.xls]табл.Расходы'!$C$3:$C$13</c:f>
              <c:numCache>
                <c:formatCode>#,##0.0</c:formatCode>
                <c:ptCount val="11"/>
                <c:pt idx="0">
                  <c:v>368760.1</c:v>
                </c:pt>
                <c:pt idx="1">
                  <c:v>72110.8</c:v>
                </c:pt>
                <c:pt idx="2">
                  <c:v>580616.1</c:v>
                </c:pt>
                <c:pt idx="3">
                  <c:v>823787.9</c:v>
                </c:pt>
                <c:pt idx="4">
                  <c:v>6648.4</c:v>
                </c:pt>
                <c:pt idx="5">
                  <c:v>2602606.4</c:v>
                </c:pt>
                <c:pt idx="6">
                  <c:v>325148.90000000002</c:v>
                </c:pt>
                <c:pt idx="7">
                  <c:v>107453.4</c:v>
                </c:pt>
                <c:pt idx="8">
                  <c:v>254986.9</c:v>
                </c:pt>
                <c:pt idx="9">
                  <c:v>16538.8</c:v>
                </c:pt>
                <c:pt idx="10">
                  <c:v>62.1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AAD7-4E24-9EBA-82B2EB08D7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15740277479212"/>
          <c:y val="5.1400554097404488E-2"/>
          <c:w val="0.8592525648659497"/>
          <c:h val="0.71481153397491981"/>
        </c:manualLayout>
      </c:layout>
      <c:lineChart>
        <c:grouping val="standard"/>
        <c:varyColors val="0"/>
        <c:ser>
          <c:idx val="0"/>
          <c:order val="0"/>
          <c:tx>
            <c:strRef>
              <c:f>'[Отчет_дефицит поквартально.xlsx]4 кв. 2025'!$A$17</c:f>
              <c:strCache>
                <c:ptCount val="1"/>
                <c:pt idx="0">
                  <c:v>Дефицит</c:v>
                </c:pt>
              </c:strCache>
            </c:strRef>
          </c:tx>
          <c:spPr>
            <a:ln w="44450">
              <a:solidFill>
                <a:srgbClr val="C00000"/>
              </a:solidFill>
            </a:ln>
          </c:spPr>
          <c:marker>
            <c:symbol val="circle"/>
            <c:size val="8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'[Отчет_дефицит поквартально.xlsx]4 кв. 2025'!$B$16:$M$16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'[Отчет_дефицит поквартально.xlsx]4 кв. 2025'!$B$17:$M$17</c:f>
              <c:numCache>
                <c:formatCode>#\ ##0.0</c:formatCode>
                <c:ptCount val="12"/>
                <c:pt idx="0">
                  <c:v>-4814</c:v>
                </c:pt>
                <c:pt idx="1">
                  <c:v>-2871.9</c:v>
                </c:pt>
                <c:pt idx="2">
                  <c:v>79341.2</c:v>
                </c:pt>
                <c:pt idx="3">
                  <c:v>-29366</c:v>
                </c:pt>
                <c:pt idx="4">
                  <c:v>156239.29999999999</c:v>
                </c:pt>
                <c:pt idx="5">
                  <c:v>248651.4</c:v>
                </c:pt>
                <c:pt idx="6">
                  <c:v>283111.5</c:v>
                </c:pt>
                <c:pt idx="7">
                  <c:v>269014.5</c:v>
                </c:pt>
                <c:pt idx="8">
                  <c:v>316297.59999999998</c:v>
                </c:pt>
                <c:pt idx="9">
                  <c:v>198004.3</c:v>
                </c:pt>
                <c:pt idx="10">
                  <c:v>331041.8</c:v>
                </c:pt>
                <c:pt idx="11">
                  <c:v>464625.9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034880"/>
        <c:axId val="146019072"/>
      </c:lineChart>
      <c:catAx>
        <c:axId val="129034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6019072"/>
        <c:crossesAt val="0"/>
        <c:auto val="1"/>
        <c:lblAlgn val="ctr"/>
        <c:lblOffset val="100"/>
        <c:noMultiLvlLbl val="0"/>
      </c:catAx>
      <c:valAx>
        <c:axId val="146019072"/>
        <c:scaling>
          <c:orientation val="minMax"/>
          <c:max val="600000"/>
          <c:min val="-100000"/>
        </c:scaling>
        <c:delete val="0"/>
        <c:axPos val="l"/>
        <c:majorGridlines/>
        <c:numFmt formatCode="#\ ##0.0" sourceLinked="1"/>
        <c:majorTickMark val="none"/>
        <c:minorTickMark val="none"/>
        <c:tickLblPos val="nextTo"/>
        <c:crossAx val="129034880"/>
        <c:crosses val="autoZero"/>
        <c:crossBetween val="between"/>
        <c:majorUnit val="100000"/>
        <c:minorUnit val="50000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'[Отчет_дефицит поквартально.xlsx]4 кв. 2025'!$B$7</c:f>
              <c:strCache>
                <c:ptCount val="1"/>
                <c:pt idx="0">
                  <c:v>Объем долга</c:v>
                </c:pt>
              </c:strCache>
            </c:strRef>
          </c:tx>
          <c:invertIfNegative val="0"/>
          <c:cat>
            <c:strRef>
              <c:f>'[Отчет_дефицит поквартально.xlsx]4 кв. 2025'!$C$6:$G$6</c:f>
              <c:strCache>
                <c:ptCount val="5"/>
                <c:pt idx="0">
                  <c:v>На 1.01.2025</c:v>
                </c:pt>
                <c:pt idx="1">
                  <c:v>На 1.04.2025</c:v>
                </c:pt>
                <c:pt idx="2">
                  <c:v>На 1.07.2025</c:v>
                </c:pt>
                <c:pt idx="3">
                  <c:v>На 1.10.2025</c:v>
                </c:pt>
                <c:pt idx="4">
                  <c:v>на 1.01.2026</c:v>
                </c:pt>
              </c:strCache>
            </c:strRef>
          </c:cat>
          <c:val>
            <c:numRef>
              <c:f>'[Отчет_дефицит поквартально.xlsx]4 кв. 2025'!$C$7:$G$7</c:f>
              <c:numCache>
                <c:formatCode>#,##0</c:formatCode>
                <c:ptCount val="5"/>
                <c:pt idx="0">
                  <c:v>62500</c:v>
                </c:pt>
                <c:pt idx="1">
                  <c:v>62500</c:v>
                </c:pt>
                <c:pt idx="2">
                  <c:v>62500</c:v>
                </c:pt>
                <c:pt idx="3">
                  <c:v>62500</c:v>
                </c:pt>
                <c:pt idx="4">
                  <c:v>16666.7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040704"/>
        <c:axId val="146042240"/>
      </c:barChart>
      <c:catAx>
        <c:axId val="1460407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6042240"/>
        <c:crosses val="autoZero"/>
        <c:auto val="1"/>
        <c:lblAlgn val="ctr"/>
        <c:lblOffset val="100"/>
        <c:noMultiLvlLbl val="0"/>
      </c:catAx>
      <c:valAx>
        <c:axId val="146042240"/>
        <c:scaling>
          <c:orientation val="minMax"/>
          <c:max val="200000"/>
          <c:min val="0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46040704"/>
        <c:crosses val="autoZero"/>
        <c:crossBetween val="between"/>
        <c:majorUnit val="50000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80F2-2EF8-47DE-BDB0-D36C4B11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219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Пейганович  Елена Юрьевна</cp:lastModifiedBy>
  <cp:revision>11</cp:revision>
  <cp:lastPrinted>2018-10-15T06:38:00Z</cp:lastPrinted>
  <dcterms:created xsi:type="dcterms:W3CDTF">2024-04-02T13:42:00Z</dcterms:created>
  <dcterms:modified xsi:type="dcterms:W3CDTF">2026-04-01T12:06:00Z</dcterms:modified>
</cp:coreProperties>
</file>